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C8AFB"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default" w:ascii="Times New Roman" w:hAnsi="Times New Roman" w:eastAsia="CESI黑体-GB2312" w:cs="Times New Roman"/>
          <w:color w:val="000000"/>
          <w:kern w:val="0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4</w:t>
      </w:r>
    </w:p>
    <w:p w14:paraId="370EBF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Arial Unicode MS" w:cs="Times New Roman"/>
          <w:kern w:val="2"/>
          <w:sz w:val="48"/>
          <w:szCs w:val="48"/>
        </w:rPr>
      </w:pPr>
      <w:r>
        <w:rPr>
          <w:rFonts w:hint="eastAsia" w:ascii="Times New Roman" w:hAnsi="Times New Roman" w:eastAsia="Arial Unicode MS" w:cs="Times New Roman"/>
          <w:kern w:val="2"/>
          <w:sz w:val="48"/>
          <w:szCs w:val="48"/>
          <w:lang w:val="en-US" w:eastAsia="zh-CN" w:bidi="ar"/>
        </w:rPr>
        <w:t xml:space="preserve"> </w:t>
      </w:r>
    </w:p>
    <w:p w14:paraId="49B9488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Arial Unicode MS" w:cs="Times New Roman"/>
          <w:kern w:val="2"/>
          <w:sz w:val="48"/>
          <w:szCs w:val="48"/>
        </w:rPr>
      </w:pPr>
      <w:r>
        <w:rPr>
          <w:rFonts w:hint="default" w:ascii="Times New Roman" w:hAnsi="Times New Roman" w:eastAsia="Arial Unicode MS" w:cs="Times New Roman"/>
          <w:kern w:val="2"/>
          <w:sz w:val="48"/>
          <w:szCs w:val="48"/>
          <w:lang w:val="en-US" w:eastAsia="zh-CN" w:bidi="ar"/>
        </w:rPr>
        <w:t>XX</w:t>
      </w:r>
      <w:r>
        <w:rPr>
          <w:rFonts w:hint="eastAsia" w:ascii="Arial Unicode MS" w:hAnsi="Arial Unicode MS" w:eastAsia="Arial Unicode MS" w:cs="Arial Unicode MS"/>
          <w:kern w:val="2"/>
          <w:sz w:val="48"/>
          <w:szCs w:val="48"/>
          <w:lang w:val="en-US" w:eastAsia="zh-CN" w:bidi="ar"/>
        </w:rPr>
        <w:t>企业</w:t>
      </w:r>
      <w:r>
        <w:rPr>
          <w:rFonts w:hint="default" w:ascii="Times New Roman" w:hAnsi="Times New Roman" w:eastAsia="Arial Unicode MS" w:cs="Times New Roman"/>
          <w:kern w:val="2"/>
          <w:sz w:val="48"/>
          <w:szCs w:val="48"/>
          <w:lang w:val="en-US" w:eastAsia="zh-CN" w:bidi="ar"/>
        </w:rPr>
        <w:t>DCMM</w:t>
      </w:r>
      <w:r>
        <w:rPr>
          <w:rFonts w:hint="eastAsia" w:ascii="Arial Unicode MS" w:hAnsi="Arial Unicode MS" w:eastAsia="Arial Unicode MS" w:cs="Arial Unicode MS"/>
          <w:kern w:val="2"/>
          <w:sz w:val="48"/>
          <w:szCs w:val="48"/>
          <w:lang w:val="en-US" w:eastAsia="zh-CN" w:bidi="ar"/>
        </w:rPr>
        <w:t>贯标情况报告</w:t>
      </w:r>
    </w:p>
    <w:p w14:paraId="2588B75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Arial Unicode MS" w:cs="Times New Roman"/>
          <w:kern w:val="2"/>
          <w:sz w:val="48"/>
          <w:szCs w:val="48"/>
        </w:rPr>
      </w:pPr>
      <w:r>
        <w:rPr>
          <w:rFonts w:hint="eastAsia" w:ascii="Arial Unicode MS" w:hAnsi="Arial Unicode MS" w:eastAsia="Arial Unicode MS" w:cs="Arial Unicode MS"/>
          <w:kern w:val="2"/>
          <w:sz w:val="48"/>
          <w:szCs w:val="48"/>
          <w:lang w:val="en-US" w:eastAsia="zh-CN" w:bidi="ar"/>
        </w:rPr>
        <w:t>（提纲）</w:t>
      </w:r>
    </w:p>
    <w:p w14:paraId="6F914B3E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b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color w:val="000000"/>
          <w:kern w:val="2"/>
          <w:sz w:val="32"/>
          <w:szCs w:val="32"/>
          <w:lang w:val="en-US" w:eastAsia="zh-CN" w:bidi="ar"/>
        </w:rPr>
        <w:t>一、项目基本情况</w:t>
      </w:r>
    </w:p>
    <w:p w14:paraId="0B03F7FD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华文仿宋" w:hAnsi="华文仿宋" w:eastAsia="华文仿宋" w:cs="华文仿宋"/>
          <w:color w:val="000000"/>
          <w:kern w:val="2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2"/>
          <w:sz w:val="32"/>
          <w:szCs w:val="32"/>
          <w:lang w:val="en-US" w:eastAsia="zh-CN" w:bidi="ar"/>
        </w:rPr>
        <w:t>1. 列入全省DCMM贯标试点时间；</w:t>
      </w:r>
    </w:p>
    <w:p w14:paraId="2E567710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华文仿宋" w:hAnsi="华文仿宋" w:eastAsia="华文仿宋" w:cs="华文仿宋"/>
          <w:color w:val="000000"/>
          <w:kern w:val="2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2"/>
          <w:sz w:val="32"/>
          <w:szCs w:val="32"/>
          <w:lang w:val="en-US" w:eastAsia="zh-CN" w:bidi="ar"/>
        </w:rPr>
        <w:t>2. 企业DCMM贯标评估时间和过程，含自评估、第三方评估、培训、宣传等工作开展情况；</w:t>
      </w:r>
    </w:p>
    <w:p w14:paraId="5AEFEB11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华文仿宋" w:hAnsi="华文仿宋" w:eastAsia="华文仿宋" w:cs="华文仿宋"/>
          <w:color w:val="000000"/>
          <w:kern w:val="2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2"/>
          <w:sz w:val="32"/>
          <w:szCs w:val="32"/>
          <w:lang w:val="en-US" w:eastAsia="zh-CN" w:bidi="ar"/>
        </w:rPr>
        <w:t>3. 第三方评估机构评估报告中得分情况，含综合得分和各能力领域得分；</w:t>
      </w:r>
    </w:p>
    <w:p w14:paraId="34117069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华文仿宋" w:hAnsi="华文仿宋" w:eastAsia="华文仿宋" w:cs="华文仿宋"/>
          <w:color w:val="000000"/>
          <w:kern w:val="2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2"/>
          <w:sz w:val="32"/>
          <w:szCs w:val="32"/>
          <w:lang w:val="en-US" w:eastAsia="zh-CN" w:bidi="ar"/>
        </w:rPr>
        <w:t>4. 数据管理工具、数据管理系统及各能力域制度建设（甲方）情况，数据服务产品和数据服务能力（乙方）情况。</w:t>
      </w:r>
    </w:p>
    <w:p w14:paraId="3AD93B89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b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color w:val="000000"/>
          <w:kern w:val="2"/>
          <w:sz w:val="32"/>
          <w:szCs w:val="32"/>
          <w:lang w:val="en-US" w:eastAsia="zh-CN" w:bidi="ar"/>
        </w:rPr>
        <w:t>二、项目成效</w:t>
      </w:r>
    </w:p>
    <w:p w14:paraId="1F76640C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华文仿宋" w:hAnsi="华文仿宋" w:eastAsia="华文仿宋" w:cs="华文仿宋"/>
          <w:color w:val="000000"/>
          <w:kern w:val="2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2"/>
          <w:sz w:val="32"/>
          <w:szCs w:val="32"/>
          <w:lang w:val="en-US" w:eastAsia="zh-CN" w:bidi="ar"/>
        </w:rPr>
        <w:t>1. 企业DCMM贯标评估通过等级；</w:t>
      </w:r>
    </w:p>
    <w:p w14:paraId="01C5BF3D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华文仿宋" w:hAnsi="华文仿宋" w:eastAsia="华文仿宋" w:cs="华文仿宋"/>
          <w:color w:val="000000"/>
          <w:kern w:val="2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2"/>
          <w:sz w:val="32"/>
          <w:szCs w:val="32"/>
          <w:lang w:val="en-US" w:eastAsia="zh-CN" w:bidi="ar"/>
        </w:rPr>
        <w:t>2. 在实施DCMM贯标过程中积累的典型经验和做法，通过DCMM贯标评估实现的企业数据管理能力方面的提升情况，或对企业数字化转型的影响。</w:t>
      </w:r>
    </w:p>
    <w:p w14:paraId="2A34C5F7">
      <w:pPr>
        <w:jc w:val="both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46C397-B92B-4480-9C6D-49AA3985B0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6082CDC-8A12-40B8-AA8B-4FF8DAE5146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3FD15C1-CBDB-4F64-B0E9-90483459E0CC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4" w:fontKey="{C0CD076F-1A3B-4C07-8C42-B4388621BC0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7B74471-8C3F-454F-8EF2-BD4FC275B79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6" w:fontKey="{88688E76-1595-4273-AA81-B54FFFCF78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C5BE0"/>
    <w:rsid w:val="0D444E52"/>
    <w:rsid w:val="1C2C5BE0"/>
    <w:rsid w:val="29477D78"/>
    <w:rsid w:val="39511E95"/>
    <w:rsid w:val="4C04246E"/>
    <w:rsid w:val="4C2343F8"/>
    <w:rsid w:val="75716F6B"/>
    <w:rsid w:val="7F95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keepNext w:val="0"/>
      <w:keepLines w:val="0"/>
      <w:widowControl w:val="0"/>
      <w:suppressLineNumbers w:val="0"/>
      <w:spacing w:after="0" w:afterAutospacing="0"/>
      <w:jc w:val="both"/>
    </w:pPr>
    <w:rPr>
      <w:rFonts w:hint="eastAsia" w:ascii="宋体" w:hAnsi="宋体" w:eastAsia="宋体" w:cs="宋体"/>
      <w:kern w:val="2"/>
      <w:sz w:val="69"/>
      <w:szCs w:val="69"/>
      <w:lang w:val="en-US" w:eastAsia="zh-CN" w:bidi="ar"/>
    </w:rPr>
  </w:style>
  <w:style w:type="paragraph" w:styleId="4">
    <w:name w:val="Body Text First Indent 2"/>
    <w:qFormat/>
    <w:uiPriority w:val="0"/>
    <w:pPr>
      <w:keepNext w:val="0"/>
      <w:keepLines w:val="0"/>
      <w:widowControl w:val="0"/>
      <w:suppressLineNumbers w:val="0"/>
      <w:spacing w:after="0" w:afterAutospacing="0"/>
      <w:ind w:left="0" w:leftChars="0" w:firstLine="420" w:firstLineChars="200"/>
      <w:jc w:val="both"/>
    </w:pPr>
    <w:rPr>
      <w:rFonts w:hint="default" w:ascii="仿宋_GB2312" w:hAnsi="Calibri" w:eastAsia="宋体" w:cs="Times New Roman"/>
      <w:bCs/>
      <w:kern w:val="2"/>
      <w:sz w:val="21"/>
      <w:szCs w:val="21"/>
      <w:lang w:val="en-US" w:eastAsia="zh-CN" w:bidi="ar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2025-11-11T08:00:00Z</dcterms:created>
  <dc:creator>WPS_1508635159</dc:creator>
  <cp:lastModifiedBy>WPS_1508635159</cp:lastModifiedBy>
  <dcterms:modified xsi:type="dcterms:W3CDTF">2025-11-11T08:04:41Z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BC3223E567D540CA9A05CA011D95C634_13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