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1AE1F">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关于节能节水、环境保护、安全生产专用设备数字化智能化改造企业所得税政策的公告</w:t>
      </w:r>
    </w:p>
    <w:p w14:paraId="3BE9851F">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财政部 税务总局公告2024年第9号</w:t>
      </w:r>
    </w:p>
    <w:p w14:paraId="245ED2BB">
      <w:pPr>
        <w:wordWrap/>
        <w:ind w:left="0" w:leftChars="0" w:firstLine="0" w:firstLineChars="0"/>
        <w:rPr>
          <w:rFonts w:ascii="Microsoft YaHei UI" w:hAnsi="Microsoft YaHei UI" w:eastAsia="Microsoft YaHei UI" w:cs="Microsoft YaHei UI"/>
          <w:i w:val="0"/>
          <w:iCs w:val="0"/>
          <w:caps w:val="0"/>
          <w:spacing w:val="9"/>
          <w:sz w:val="27"/>
          <w:szCs w:val="27"/>
          <w:shd w:val="clear" w:fill="FFFFFF"/>
        </w:rPr>
      </w:pPr>
    </w:p>
    <w:p w14:paraId="5AFF07FB">
      <w:pPr>
        <w:wordWrap/>
        <w:ind w:left="0" w:leftChars="0" w:firstLine="632" w:firstLineChars="200"/>
        <w:rPr>
          <w:rFonts w:hint="eastAsia"/>
          <w:lang w:val="en-US" w:eastAsia="zh-CN"/>
        </w:rPr>
      </w:pPr>
      <w:r>
        <w:rPr>
          <w:rFonts w:hint="eastAsia"/>
          <w:lang w:val="en-US" w:eastAsia="zh-CN"/>
        </w:rPr>
        <w:t>按照《国务院关于印发&lt;推动大规模设备更新和消费品以旧换新行动方案&gt;的通知》（国发〔2024〕7号）要求，现就节能节水、环境保护和安全生产专用设备（以下简称专用设备）数字化、智能化改造企业所得税政策公告如下：</w:t>
      </w:r>
    </w:p>
    <w:p w14:paraId="6EE2E914">
      <w:pPr>
        <w:numPr>
          <w:ilvl w:val="0"/>
          <w:numId w:val="1"/>
        </w:numPr>
        <w:wordWrap/>
        <w:ind w:left="0" w:leftChars="0" w:firstLine="632" w:firstLineChars="200"/>
        <w:rPr>
          <w:rFonts w:hint="eastAsia"/>
          <w:lang w:val="en-US" w:eastAsia="zh-CN"/>
        </w:rPr>
      </w:pPr>
      <w:r>
        <w:rPr>
          <w:rFonts w:hint="eastAsia"/>
          <w:lang w:val="en-US" w:eastAsia="zh-CN"/>
        </w:rPr>
        <w:t>企业在2024年1月1日至2027年12月31日期间发生的专用设备数字化、智能化改造投入，不超过该专用设备购置时原计税基础50%的部分，可按照10%比例抵免企业当年应纳税额。企业当年应纳税额不足抵免的，可以向以后年度结转，但结转年限最长不得超过五年。</w:t>
      </w:r>
    </w:p>
    <w:p w14:paraId="482EC60C">
      <w:pPr>
        <w:numPr>
          <w:ilvl w:val="0"/>
          <w:numId w:val="1"/>
        </w:numPr>
        <w:wordWrap/>
        <w:ind w:left="0" w:leftChars="0" w:firstLine="632" w:firstLineChars="200"/>
        <w:rPr>
          <w:rFonts w:hint="eastAsia"/>
          <w:lang w:val="en-US" w:eastAsia="zh-CN"/>
        </w:rPr>
      </w:pPr>
      <w:r>
        <w:rPr>
          <w:rFonts w:hint="eastAsia"/>
          <w:lang w:val="en-US" w:eastAsia="zh-CN"/>
        </w:rPr>
        <w:t>本公告所称专用设备，是指企业购置并实际使用列入《财政部 税务总局 应急管理部关于印发&lt;安全生产专用设备企业所得税优惠目录（2018年版）&gt;的通知》（财税〔2018〕84号）、《财政部 税务总局 国家发展改革委 工业和信息化部 环境保护部关于印发节能节水和环境保护专用设备企业所得税优惠目录（2017年版）的通知》（财税〔2017〕71号）的专用设备。专用设备改造后仍应符合上述目录规定条件，不符合上述目录规定条件的不得享受优惠。上述目录如有更新，从其规定。</w:t>
      </w:r>
    </w:p>
    <w:p w14:paraId="2B4EB576">
      <w:pPr>
        <w:numPr>
          <w:ilvl w:val="0"/>
          <w:numId w:val="1"/>
        </w:numPr>
        <w:wordWrap/>
        <w:ind w:left="0" w:leftChars="0" w:firstLine="632" w:firstLineChars="200"/>
        <w:rPr>
          <w:rFonts w:hint="default"/>
          <w:lang w:val="en-US" w:eastAsia="zh-CN"/>
        </w:rPr>
      </w:pPr>
      <w:r>
        <w:rPr>
          <w:rFonts w:hint="eastAsia"/>
          <w:lang w:val="en-US" w:eastAsia="zh-CN"/>
        </w:rPr>
        <w:t>本公告所称专用设备数字化、智能化改造，是指企业利用信息技术和数字技术对专用设备进行技术改进和优化，从而提高该设备的数字化和智能化水平。具体包括以下方面：</w:t>
      </w:r>
    </w:p>
    <w:p w14:paraId="3D4DEC7E">
      <w:pPr>
        <w:numPr>
          <w:ilvl w:val="0"/>
          <w:numId w:val="0"/>
        </w:numPr>
        <w:wordWrap/>
        <w:ind w:firstLine="632" w:firstLineChars="200"/>
        <w:rPr>
          <w:rFonts w:hint="default"/>
          <w:lang w:val="en-US" w:eastAsia="zh-CN"/>
        </w:rPr>
      </w:pPr>
      <w:r>
        <w:rPr>
          <w:rFonts w:hint="eastAsia"/>
          <w:lang w:val="en-US" w:eastAsia="zh-CN"/>
        </w:rPr>
        <w:t>1.数据采集。利用传感、自动识别、系统读取、工业控制数据解析等数据采集技术，将专用设备的性能参数、运行状态和环境状态等信息转化为数字形式，实现对专用设备信息的监测和采集。2.数据传输和存储。利用网络连接、协议转换、数据存储等数据传输和管理技术，将采集的专用设备数据传输和存储，实现对专用设备采集数据的有效汇集。3.数据分析。利用数据计算处理、统计分析、建模仿真等数据分析技术，对采集的专用设备信息进行深度分析，实现专用设备故障诊断、预测维护、优化运行等方面的改进。4.智能控制。利用自动化技术和智能化技术，对专用设备监测告警、动态调参、反馈控制等功能进行升级，实现专用设备的智能化控制。5.数字安全与防护。利用数据加密、漏洞扫描、权限控制、冗余备份等数据和网络安全技术，对专用设备的数据机密性和完整性进行强化，实现专用设备数据和网络安全风险防控能力的明显提升。6.国务院财政、税务主管部门会同科技、工业和信息化部门规定的其他数字化、智能化改造情形。</w:t>
      </w:r>
    </w:p>
    <w:p w14:paraId="26000C25">
      <w:pPr>
        <w:numPr>
          <w:ilvl w:val="0"/>
          <w:numId w:val="1"/>
        </w:numPr>
        <w:wordWrap/>
        <w:ind w:left="0" w:leftChars="0" w:firstLine="632" w:firstLineChars="200"/>
        <w:rPr>
          <w:rFonts w:hint="default"/>
          <w:lang w:val="en-US" w:eastAsia="zh-CN"/>
        </w:rPr>
      </w:pPr>
      <w:r>
        <w:rPr>
          <w:rFonts w:hint="eastAsia"/>
          <w:lang w:val="en-US" w:eastAsia="zh-CN"/>
        </w:rPr>
        <w:t>享受本公告税收优惠的改造投入，是指企业对专用设备数字化、智能化改造过程中发生的并形成该专用设备固定资产价值的支出，但不包括按有关规定退还的增值税税款以及专用设备运输、安装和调试等费用。</w:t>
      </w:r>
    </w:p>
    <w:p w14:paraId="4A5F6FB8">
      <w:pPr>
        <w:numPr>
          <w:ilvl w:val="0"/>
          <w:numId w:val="1"/>
        </w:numPr>
        <w:wordWrap/>
        <w:ind w:left="0" w:leftChars="0" w:firstLine="632" w:firstLineChars="200"/>
        <w:rPr>
          <w:rFonts w:hint="default"/>
          <w:lang w:val="en-US" w:eastAsia="zh-CN"/>
        </w:rPr>
      </w:pPr>
      <w:r>
        <w:rPr>
          <w:rFonts w:hint="eastAsia"/>
          <w:lang w:val="en-US" w:eastAsia="zh-CN"/>
        </w:rPr>
        <w:t>本公告所称企业所得税应纳税额，是指企业当年的应纳税所得额乘以适用税率，扣除依照企业所得税法和有关税收优惠政策规定减征、免征税额后的余额。</w:t>
      </w:r>
    </w:p>
    <w:p w14:paraId="0151496E">
      <w:pPr>
        <w:numPr>
          <w:ilvl w:val="0"/>
          <w:numId w:val="1"/>
        </w:numPr>
        <w:wordWrap/>
        <w:ind w:left="0" w:leftChars="0" w:firstLine="632" w:firstLineChars="200"/>
        <w:rPr>
          <w:rFonts w:hint="default"/>
          <w:lang w:val="en-US" w:eastAsia="zh-CN"/>
        </w:rPr>
      </w:pPr>
      <w:r>
        <w:rPr>
          <w:rFonts w:hint="eastAsia"/>
          <w:lang w:val="en-US" w:eastAsia="zh-CN"/>
        </w:rPr>
        <w:t>享受本公告规定的税收优惠政策企业，应当自身实际使用改造后的专用设备。企业在专用设备改造完成后五个纳税年度内转让、出租的，应在该专用设备停止使用当月停止享受优惠，并补缴已经抵免的企业所得税税款。</w:t>
      </w:r>
    </w:p>
    <w:p w14:paraId="143BF51A">
      <w:pPr>
        <w:numPr>
          <w:ilvl w:val="0"/>
          <w:numId w:val="1"/>
        </w:numPr>
        <w:wordWrap/>
        <w:ind w:left="0" w:leftChars="0" w:firstLine="632" w:firstLineChars="200"/>
        <w:rPr>
          <w:rFonts w:hint="default"/>
          <w:lang w:val="en-US" w:eastAsia="zh-CN"/>
        </w:rPr>
      </w:pPr>
      <w:r>
        <w:rPr>
          <w:rFonts w:hint="eastAsia"/>
          <w:lang w:val="en-US" w:eastAsia="zh-CN"/>
        </w:rPr>
        <w:t>承租方企业以融资租赁方式租入的、并在融资租赁合同中约定租赁期届满时租赁设备所有权转移给承租方企业的专用设备，承租方企业发生的专用设备数字化、智能化改造投入，可按本公告规定享受优惠。如融资租赁期届满后租赁设备所有权未转移至承租方企业的，承租方企业应停止享受优惠，并补缴已经抵免的企业所得税税款。</w:t>
      </w:r>
    </w:p>
    <w:p w14:paraId="5F2C749B">
      <w:pPr>
        <w:numPr>
          <w:ilvl w:val="0"/>
          <w:numId w:val="1"/>
        </w:numPr>
        <w:wordWrap/>
        <w:ind w:left="0" w:leftChars="0" w:firstLine="632" w:firstLineChars="200"/>
        <w:rPr>
          <w:rFonts w:hint="default"/>
          <w:lang w:val="en-US" w:eastAsia="zh-CN"/>
        </w:rPr>
      </w:pPr>
      <w:r>
        <w:rPr>
          <w:rFonts w:hint="eastAsia"/>
          <w:lang w:val="en-US" w:eastAsia="zh-CN"/>
        </w:rPr>
        <w:t>企业利用财政拨款资金进行的专用设备数字化、智能化改造投入，不得抵免企业当年的企业所得税应纳税额。</w:t>
      </w:r>
    </w:p>
    <w:p w14:paraId="6A8540E8">
      <w:pPr>
        <w:numPr>
          <w:ilvl w:val="0"/>
          <w:numId w:val="1"/>
        </w:numPr>
        <w:wordWrap/>
        <w:ind w:left="0" w:leftChars="0" w:firstLine="632" w:firstLineChars="200"/>
        <w:rPr>
          <w:rFonts w:hint="default"/>
          <w:lang w:val="en-US" w:eastAsia="zh-CN"/>
        </w:rPr>
      </w:pPr>
      <w:r>
        <w:rPr>
          <w:rFonts w:hint="eastAsia"/>
          <w:lang w:val="en-US" w:eastAsia="zh-CN"/>
        </w:rPr>
        <w:t>企业应对专用设备数字化、智能化改造投入进行单独核算，准确、合理归集各项支出；企业在一个纳税年度内对多个专用设备进行数字化、智能化改造的，应按照不同的专用设备分别归集相关支出。对相关支出划分不清的，不得享受本公告规定的税收优惠政策。</w:t>
      </w:r>
    </w:p>
    <w:p w14:paraId="0D6331FC">
      <w:pPr>
        <w:numPr>
          <w:ilvl w:val="0"/>
          <w:numId w:val="1"/>
        </w:numPr>
        <w:wordWrap/>
        <w:ind w:left="0" w:leftChars="0" w:firstLine="632" w:firstLineChars="200"/>
        <w:rPr>
          <w:rFonts w:hint="default"/>
          <w:lang w:val="en-US" w:eastAsia="zh-CN"/>
        </w:rPr>
      </w:pPr>
      <w:r>
        <w:rPr>
          <w:rFonts w:hint="eastAsia"/>
          <w:lang w:val="en-US" w:eastAsia="zh-CN"/>
        </w:rPr>
        <w:t>企业享受本公告规定的税收优惠政策，应事先制定专用设备数字化、智能化改造方案，或取得经技术合同认定登记机构登记的技术开发合同或技术服务合同，相关资料留存备查。税务部门在政策执行过程中，不能准确判断是否属于专用设备数字化、智能化改造的，可提请地市级（含）以上工业和信息化部门会同科技部门等鉴定。</w:t>
      </w:r>
    </w:p>
    <w:p w14:paraId="5EA2F5A7">
      <w:pPr>
        <w:numPr>
          <w:ilvl w:val="0"/>
          <w:numId w:val="0"/>
        </w:numPr>
        <w:wordWrap/>
        <w:ind w:firstLine="632" w:firstLineChars="200"/>
        <w:rPr>
          <w:rFonts w:hint="eastAsia"/>
          <w:lang w:val="en-US" w:eastAsia="zh-CN"/>
        </w:rPr>
      </w:pPr>
      <w:r>
        <w:rPr>
          <w:rFonts w:hint="eastAsia"/>
          <w:lang w:val="en-US" w:eastAsia="zh-CN"/>
        </w:rPr>
        <w:t>特此公告。</w:t>
      </w:r>
    </w:p>
    <w:p w14:paraId="136CD580">
      <w:pPr>
        <w:numPr>
          <w:ilvl w:val="0"/>
          <w:numId w:val="0"/>
        </w:numPr>
        <w:wordWrap/>
        <w:ind w:firstLine="632" w:firstLineChars="200"/>
        <w:rPr>
          <w:rFonts w:hint="eastAsia"/>
          <w:lang w:val="en-US" w:eastAsia="zh-CN"/>
        </w:rPr>
      </w:pPr>
    </w:p>
    <w:p w14:paraId="5B4783F0">
      <w:pPr>
        <w:numPr>
          <w:ilvl w:val="0"/>
          <w:numId w:val="0"/>
        </w:numPr>
        <w:wordWrap/>
        <w:ind w:firstLine="632" w:firstLineChars="200"/>
        <w:rPr>
          <w:rFonts w:hint="eastAsia"/>
          <w:lang w:val="en-US" w:eastAsia="zh-CN"/>
        </w:rPr>
      </w:pPr>
    </w:p>
    <w:p w14:paraId="1BD7022E">
      <w:pPr>
        <w:numPr>
          <w:ilvl w:val="0"/>
          <w:numId w:val="0"/>
        </w:numPr>
        <w:wordWrap w:val="0"/>
        <w:ind w:firstLine="632" w:firstLineChars="200"/>
        <w:jc w:val="right"/>
        <w:rPr>
          <w:rFonts w:hint="default"/>
          <w:lang w:val="en-US" w:eastAsia="zh-CN"/>
        </w:rPr>
      </w:pPr>
      <w:r>
        <w:rPr>
          <w:rFonts w:hint="eastAsia"/>
          <w:lang w:val="en-US" w:eastAsia="zh-CN"/>
        </w:rPr>
        <w:t xml:space="preserve">财政部 税务总局  </w:t>
      </w:r>
    </w:p>
    <w:p w14:paraId="4E9D2ADA">
      <w:pPr>
        <w:numPr>
          <w:ilvl w:val="0"/>
          <w:numId w:val="0"/>
        </w:numPr>
        <w:wordWrap w:val="0"/>
        <w:ind w:firstLine="632" w:firstLineChars="200"/>
        <w:jc w:val="right"/>
        <w:rPr>
          <w:rFonts w:hint="default"/>
          <w:lang w:val="en-US" w:eastAsia="zh-CN"/>
        </w:rPr>
      </w:pPr>
      <w:r>
        <w:rPr>
          <w:rFonts w:hint="eastAsia"/>
          <w:lang w:val="en-US" w:eastAsia="zh-CN"/>
        </w:rPr>
        <w:t xml:space="preserve">2024年7月12日  </w:t>
      </w:r>
    </w:p>
    <w:p w14:paraId="60FA0D88"/>
    <w:sectPr>
      <w:footerReference r:id="rId7" w:type="first"/>
      <w:headerReference r:id="rId5" w:type="default"/>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titlePg/>
      <w:rtlGutter w:val="0"/>
      <w:docGrid w:type="linesAndChars" w:linePitch="31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7F13">
    <w:pPr>
      <w:pStyle w:val="7"/>
      <w:widowControl w:val="0"/>
      <w:pBdr>
        <w:top w:val="none" w:color="FF0000" w:sz="0" w:space="1"/>
        <w:left w:val="none" w:color="auto" w:sz="0" w:space="4"/>
        <w:bottom w:val="none" w:color="auto" w:sz="0" w:space="1"/>
        <w:right w:val="none" w:color="auto" w:sz="0" w:space="4"/>
        <w:between w:val="none" w:color="auto" w:sz="0" w:space="0"/>
      </w:pBdr>
      <w:tabs>
        <w:tab w:val="left" w:pos="3841"/>
        <w:tab w:val="clear" w:pos="4153"/>
      </w:tabs>
      <w:snapToGrid w:val="0"/>
      <w:jc w:val="left"/>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E3AE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1E3AE9">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4098">
    <w:pPr>
      <w:pStyle w:val="7"/>
      <w:widowControl w:val="0"/>
      <w:pBdr>
        <w:top w:val="none" w:color="FF0000" w:sz="0" w:space="1"/>
        <w:left w:val="none" w:color="auto" w:sz="0" w:space="4"/>
        <w:bottom w:val="none" w:color="auto" w:sz="0" w:space="1"/>
        <w:right w:val="none" w:color="auto" w:sz="0" w:space="4"/>
        <w:between w:val="none" w:color="auto" w:sz="0" w:space="0"/>
      </w:pBdr>
      <w:snapToGrid w:val="0"/>
      <w:ind w:left="0" w:leftChars="0" w:firstLine="0" w:firstLineChars="0"/>
      <w:jc w:val="lef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E8C09">
                          <w:pPr>
                            <w:pStyle w:val="7"/>
                            <w:rPr>
                              <w:rFonts w:hint="eastAsia" w:asciiTheme="minorEastAsia" w:hAnsiTheme="minorEastAsia" w:eastAsiaTheme="minorEastAsia" w:cstheme="minorEastAsia"/>
                              <w:sz w:val="28"/>
                              <w:szCs w:val="5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3E8C09">
                    <w:pPr>
                      <w:pStyle w:val="7"/>
                      <w:rPr>
                        <w:rFonts w:hint="eastAsia" w:asciiTheme="minorEastAsia" w:hAnsiTheme="minorEastAsia" w:eastAsiaTheme="minorEastAsia" w:cstheme="minorEastAsia"/>
                        <w:sz w:val="28"/>
                        <w:szCs w:val="5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DC1C">
    <w:pPr>
      <w:pStyle w:val="8"/>
      <w:widowControl w:val="0"/>
      <w:pBdr>
        <w:top w:val="none" w:color="auto" w:sz="0" w:space="1"/>
        <w:left w:val="none" w:color="auto" w:sz="0" w:space="4"/>
        <w:bottom w:val="none" w:color="FF0000" w:sz="0" w:space="1"/>
        <w:right w:val="none" w:color="auto" w:sz="0" w:space="4"/>
        <w:between w:val="none" w:color="auto" w:sz="0" w:space="0"/>
      </w:pBdr>
      <w:snapToGrid w:val="0"/>
      <w:spacing w:line="240" w:lineRule="auto"/>
      <w:jc w:val="distribute"/>
      <w:outlineLvl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8F45B"/>
    <w:multiLevelType w:val="singleLevel"/>
    <w:tmpl w:val="9A78F4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MGY2MGZlNzViMDY5NDU2MWViNzM0MDBmNjQ3ZjgifQ=="/>
  </w:docVars>
  <w:rsids>
    <w:rsidRoot w:val="00000000"/>
    <w:rsid w:val="00677630"/>
    <w:rsid w:val="00D93482"/>
    <w:rsid w:val="025433C5"/>
    <w:rsid w:val="074674FA"/>
    <w:rsid w:val="09787D44"/>
    <w:rsid w:val="09D62E6A"/>
    <w:rsid w:val="0A042F8C"/>
    <w:rsid w:val="0A7F3C27"/>
    <w:rsid w:val="0C39229D"/>
    <w:rsid w:val="124E72A0"/>
    <w:rsid w:val="12A723DE"/>
    <w:rsid w:val="1426561C"/>
    <w:rsid w:val="166A0E03"/>
    <w:rsid w:val="17316346"/>
    <w:rsid w:val="19ED0C23"/>
    <w:rsid w:val="1AA1457C"/>
    <w:rsid w:val="1D2C4E51"/>
    <w:rsid w:val="1EE910A9"/>
    <w:rsid w:val="1F9536BC"/>
    <w:rsid w:val="205B7662"/>
    <w:rsid w:val="259A73E9"/>
    <w:rsid w:val="27407E1C"/>
    <w:rsid w:val="30445321"/>
    <w:rsid w:val="30A75FF5"/>
    <w:rsid w:val="362873A8"/>
    <w:rsid w:val="364A04AE"/>
    <w:rsid w:val="367C1E9C"/>
    <w:rsid w:val="36B62A2A"/>
    <w:rsid w:val="39A8166A"/>
    <w:rsid w:val="3A196C1D"/>
    <w:rsid w:val="3ABD3137"/>
    <w:rsid w:val="3F792699"/>
    <w:rsid w:val="40207F02"/>
    <w:rsid w:val="43746E8D"/>
    <w:rsid w:val="443A0FBC"/>
    <w:rsid w:val="449B78A2"/>
    <w:rsid w:val="49007F90"/>
    <w:rsid w:val="4B20327E"/>
    <w:rsid w:val="4BC30D8B"/>
    <w:rsid w:val="4D592EA9"/>
    <w:rsid w:val="4EEC2212"/>
    <w:rsid w:val="532C78BB"/>
    <w:rsid w:val="53633C9B"/>
    <w:rsid w:val="58701944"/>
    <w:rsid w:val="594156BD"/>
    <w:rsid w:val="5A0D3B0C"/>
    <w:rsid w:val="5A7312B2"/>
    <w:rsid w:val="5B6E1271"/>
    <w:rsid w:val="5DB372EA"/>
    <w:rsid w:val="60DB671F"/>
    <w:rsid w:val="62074BA1"/>
    <w:rsid w:val="6D0D3592"/>
    <w:rsid w:val="71B45634"/>
    <w:rsid w:val="739911FD"/>
    <w:rsid w:val="766E517F"/>
    <w:rsid w:val="78912AAB"/>
    <w:rsid w:val="78BE78E3"/>
    <w:rsid w:val="79887216"/>
    <w:rsid w:val="7D04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560" w:lineRule="exact"/>
      <w:ind w:firstLine="880" w:firstLineChars="200"/>
      <w:jc w:val="both"/>
    </w:pPr>
    <w:rPr>
      <w:rFonts w:ascii="仿宋_GB2312" w:hAnsi="仿宋_GB2312" w:eastAsia="仿宋_GB2312" w:cs="仿宋_GB2312"/>
      <w:sz w:val="32"/>
      <w:szCs w:val="32"/>
      <w:lang w:val="en-US" w:eastAsia="zh-CN" w:bidi="ar-SA"/>
    </w:rPr>
  </w:style>
  <w:style w:type="paragraph" w:styleId="2">
    <w:name w:val="heading 1"/>
    <w:basedOn w:val="1"/>
    <w:next w:val="1"/>
    <w:autoRedefine/>
    <w:qFormat/>
    <w:uiPriority w:val="0"/>
    <w:pPr>
      <w:spacing w:beforeAutospacing="0" w:afterAutospacing="0"/>
      <w:ind w:firstLine="0" w:firstLineChars="0"/>
      <w:jc w:val="center"/>
      <w:outlineLvl w:val="0"/>
    </w:pPr>
    <w:rPr>
      <w:rFonts w:eastAsia="方正小标宋简体" w:cs="宋体"/>
      <w:bCs/>
      <w:kern w:val="44"/>
      <w:sz w:val="44"/>
      <w:szCs w:val="48"/>
      <w:lang w:bidi="ar"/>
    </w:rPr>
  </w:style>
  <w:style w:type="paragraph" w:styleId="3">
    <w:name w:val="heading 2"/>
    <w:basedOn w:val="1"/>
    <w:next w:val="1"/>
    <w:link w:val="12"/>
    <w:semiHidden/>
    <w:unhideWhenUsed/>
    <w:qFormat/>
    <w:uiPriority w:val="0"/>
    <w:pPr>
      <w:keepNext w:val="0"/>
      <w:keepLines/>
      <w:widowControl w:val="0"/>
      <w:topLinePunct/>
      <w:spacing w:beforeLines="0" w:beforeAutospacing="0" w:afterLines="0" w:afterAutospacing="0" w:line="560" w:lineRule="exact"/>
      <w:outlineLvl w:val="1"/>
    </w:pPr>
    <w:rPr>
      <w:rFonts w:ascii="Arial" w:hAnsi="Arial" w:eastAsia="黑体"/>
    </w:rPr>
  </w:style>
  <w:style w:type="paragraph" w:styleId="4">
    <w:name w:val="heading 3"/>
    <w:basedOn w:val="1"/>
    <w:next w:val="1"/>
    <w:link w:val="11"/>
    <w:semiHidden/>
    <w:unhideWhenUsed/>
    <w:qFormat/>
    <w:uiPriority w:val="0"/>
    <w:pPr>
      <w:keepNext w:val="0"/>
      <w:keepLines/>
      <w:widowControl w:val="0"/>
      <w:topLinePunct/>
      <w:spacing w:beforeLines="0" w:beforeAutospacing="0" w:afterLines="0" w:afterAutospacing="0" w:line="560" w:lineRule="exact"/>
      <w:outlineLvl w:val="2"/>
    </w:pPr>
    <w:rPr>
      <w:rFonts w:eastAsia="楷体"/>
    </w:rPr>
  </w:style>
  <w:style w:type="paragraph" w:styleId="5">
    <w:name w:val="heading 4"/>
    <w:basedOn w:val="1"/>
    <w:next w:val="1"/>
    <w:link w:val="13"/>
    <w:semiHidden/>
    <w:unhideWhenUsed/>
    <w:qFormat/>
    <w:uiPriority w:val="0"/>
    <w:pPr>
      <w:keepNext w:val="0"/>
      <w:keepLines/>
      <w:spacing w:beforeLines="0" w:beforeAutospacing="0" w:afterLines="0" w:afterAutospacing="0" w:line="560" w:lineRule="exact"/>
      <w:outlineLvl w:val="3"/>
    </w:pPr>
    <w:rPr>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line="560" w:lineRule="exact"/>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3 Char"/>
    <w:link w:val="4"/>
    <w:qFormat/>
    <w:uiPriority w:val="0"/>
    <w:rPr>
      <w:rFonts w:eastAsia="楷体"/>
      <w:sz w:val="32"/>
    </w:rPr>
  </w:style>
  <w:style w:type="character" w:customStyle="1" w:styleId="12">
    <w:name w:val="标题 2 Char"/>
    <w:link w:val="3"/>
    <w:qFormat/>
    <w:uiPriority w:val="0"/>
    <w:rPr>
      <w:rFonts w:ascii="Arial" w:hAnsi="Arial" w:eastAsia="黑体"/>
      <w:sz w:val="32"/>
    </w:rPr>
  </w:style>
  <w:style w:type="character" w:customStyle="1" w:styleId="13">
    <w:name w:val="标题 4 Char"/>
    <w:link w:val="5"/>
    <w:autoRedefine/>
    <w:qFormat/>
    <w:uiPriority w:val="0"/>
    <w:rPr>
      <w:rFonts w:ascii="Times New Roman" w:hAnsi="Times New Roman" w:eastAsia="仿宋_GB2312"/>
      <w:b/>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1695</Words>
  <Characters>1737</Characters>
  <Lines>0</Lines>
  <Paragraphs>0</Paragraphs>
  <TotalTime>1</TotalTime>
  <ScaleCrop>false</ScaleCrop>
  <LinksUpToDate>false</LinksUpToDate>
  <CharactersWithSpaces>1749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2024-01-22T09:27:00Z</dcterms:created>
  <dc:creator>Administrator</dc:creator>
  <cp:lastModifiedBy>黎明即起日出而作</cp:lastModifiedBy>
  <dcterms:modified xsi:type="dcterms:W3CDTF">2024-07-22T08:49:34Z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2FF8FEFAC261470C8D6C62CAE0ED2899_13</vt:lpwstr>
  </property>
</Properties>
</file>