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附件1</w:t>
      </w:r>
    </w:p>
    <w:p>
      <w:pPr>
        <w:spacing w:line="576" w:lineRule="exact"/>
        <w:rPr>
          <w:rFonts w:eastAsia="黑体"/>
          <w:color w:val="000000"/>
        </w:rPr>
      </w:pPr>
    </w:p>
    <w:p>
      <w:pPr>
        <w:pStyle w:val="2"/>
        <w:spacing w:line="576" w:lineRule="exact"/>
        <w:jc w:val="center"/>
        <w:outlineLvl w:val="0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培育企业入库标准</w:t>
      </w:r>
    </w:p>
    <w:bookmarkEnd w:id="0"/>
    <w:p>
      <w:pPr>
        <w:pStyle w:val="2"/>
        <w:spacing w:line="576" w:lineRule="exact"/>
        <w:ind w:firstLine="880" w:firstLineChars="200"/>
        <w:rPr>
          <w:rFonts w:eastAsia="仿宋_GB2312"/>
          <w:color w:val="000000"/>
          <w:sz w:val="44"/>
          <w:szCs w:val="44"/>
        </w:rPr>
      </w:pPr>
    </w:p>
    <w:p>
      <w:pPr>
        <w:spacing w:line="576" w:lineRule="exact"/>
        <w:ind w:firstLine="640" w:firstLineChars="200"/>
        <w:outlineLvl w:val="0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一、制造业单项冠军培育企业入库标准</w:t>
      </w:r>
    </w:p>
    <w:p>
      <w:pPr>
        <w:spacing w:line="576" w:lineRule="exact"/>
        <w:ind w:firstLine="640" w:firstLineChars="200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（一）坚持专业化发展。企业长期专注并深耕产业链某一环节或某一产品领域。截至上年末，从事相关领域达到10年及以上，属于新产品的应达到3年及以上。</w:t>
      </w:r>
    </w:p>
    <w:p>
      <w:pPr>
        <w:spacing w:line="576" w:lineRule="exact"/>
        <w:ind w:firstLine="640" w:firstLineChars="200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（二）拥有较高的市场份额。申请产品市场占有率位居全球前10，或国内前5，或省内第1。产品类别原则上按照《统计用产品分类目录》8位或10位代码，难以准确归入的应符合行业普遍认可的惯例。企业近3年研发上市且无法归入《统计用产品分类目录》的产品视为新产品。</w:t>
      </w:r>
    </w:p>
    <w:p>
      <w:pPr>
        <w:spacing w:line="576" w:lineRule="exact"/>
        <w:ind w:firstLine="640" w:firstLineChars="200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（三）创新能力强。企业生产技术、工艺国内领先，重视研发投入，拥有核心自主知识产权，主导或参与制定相关领域技术标准。</w:t>
      </w:r>
    </w:p>
    <w:p>
      <w:pPr>
        <w:spacing w:line="576" w:lineRule="exact"/>
        <w:ind w:firstLine="640" w:firstLineChars="200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（四）质量效益高。产品质量精良，关键性能指标处于同类产品领先水平。经营业绩优秀，主营业务收入或利润行业领先。企业发展稳中向好，近三年有望提高特定细分产品市场份额，有发展成为相关领域行业领先企业的潜力。</w:t>
      </w:r>
    </w:p>
    <w:p>
      <w:pPr>
        <w:spacing w:line="576" w:lineRule="exact"/>
        <w:ind w:firstLine="640" w:firstLineChars="200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（五）符合我市19条标志性产业链、工业强基等重点方向，从事细分产品市场属于制造业关键基础材料、核心零部件、专用高端产品、产业链补短板产品，予以优先考虑。</w:t>
      </w:r>
    </w:p>
    <w:p>
      <w:pPr>
        <w:spacing w:line="576" w:lineRule="exact"/>
        <w:ind w:firstLine="640" w:firstLineChars="200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（六）西安市内注册的独立法人企业，企业近三年无税收、质量、环境违法记录，企业产品能耗达到能耗限额标准先进值。</w:t>
      </w:r>
    </w:p>
    <w:p>
      <w:pPr>
        <w:spacing w:line="576" w:lineRule="exact"/>
        <w:ind w:firstLine="640" w:firstLineChars="200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（七）已获认定的省级制造业单项冠军示范企业优先入库。</w:t>
      </w:r>
    </w:p>
    <w:p>
      <w:pPr>
        <w:spacing w:line="576" w:lineRule="exact"/>
        <w:ind w:firstLine="640" w:firstLineChars="200"/>
        <w:outlineLvl w:val="0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二、制造业产业链领航培育企业入库标准</w:t>
      </w:r>
    </w:p>
    <w:p>
      <w:pPr>
        <w:spacing w:line="576" w:lineRule="exact"/>
        <w:ind w:firstLine="640" w:firstLineChars="200"/>
        <w:outlineLvl w:val="1"/>
        <w:rPr>
          <w:rFonts w:hint="eastAsia" w:ascii="楷体_GB2312" w:eastAsia="楷体_GB2312"/>
          <w:bCs/>
          <w:szCs w:val="32"/>
        </w:rPr>
      </w:pPr>
      <w:r>
        <w:rPr>
          <w:rFonts w:hint="eastAsia" w:ascii="楷体_GB2312" w:eastAsia="楷体_GB2312"/>
          <w:bCs/>
          <w:szCs w:val="32"/>
        </w:rPr>
        <w:t>（一）基础条件</w: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1．在境内注册、具有独立法人资格，具有爱国情怀，未产生损害国家利益和人民利益的行为。</w: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2．遵纪守法、诚实守信，近5年未纳入企业失信名单、未出现债务违约、未发生重大产品服务质量事件和重大生产安全事故。</w: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3．长期专注于制造业，主营业务收入或主营业务利润进入国内行业前30。</w:t>
      </w:r>
    </w:p>
    <w:p>
      <w:pPr>
        <w:spacing w:line="576" w:lineRule="exact"/>
        <w:ind w:firstLine="640" w:firstLineChars="200"/>
        <w:outlineLvl w:val="1"/>
        <w:rPr>
          <w:rFonts w:hint="eastAsia" w:ascii="楷体_GB2312" w:eastAsia="楷体_GB2312"/>
          <w:bCs/>
          <w:szCs w:val="32"/>
        </w:rPr>
      </w:pPr>
      <w:r>
        <w:rPr>
          <w:rFonts w:hint="eastAsia" w:ascii="楷体_GB2312" w:eastAsia="楷体_GB2312"/>
          <w:bCs/>
          <w:szCs w:val="32"/>
        </w:rPr>
        <w:t>（二）相关指标</w: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1．创新力指标：研发投入高于行业平均水平。拥有国际国内发明专利等核心自主知识产权，主导或参与相关领域国际国内标准制定。积极推进数字化转型、智能化升级。</w: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2．竞争力指标：至少拥有一项市场占有率全球前10或国内前3的主导产品。产品质量标准与国际接轨，国际化品牌战略效果明显。全员劳动生产率、净资产收益率、经济增加值率等处于国内行业领先水平。</w:t>
      </w:r>
      <w:r>
        <w:rPr>
          <w:rFonts w:hint="eastAsia" w:eastAsia="仿宋_GB2312"/>
          <w:bCs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2870200</wp:posOffset>
                </wp:positionH>
                <wp:positionV relativeFrom="paragraph">
                  <wp:posOffset>8293100</wp:posOffset>
                </wp:positionV>
                <wp:extent cx="647700" cy="152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pt;margin-top:653pt;height:12pt;width:51pt;mso-position-horizontal-relative:page;z-index:251659264;mso-width-relative:page;mso-height-relative:page;" filled="f" stroked="f" coordsize="21600,21600" o:gfxdata="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l2Pt2gAAAA0BAAAP&#10;AAAAAAAAAAEAIAAAACIAAABkcnMvZG93bnJldi54bWxQSwECFAAUAAAACACHTuJAhC3UMN0BAACs&#10;AwAADgAAAAAAAAABACAAAAApAQAAZHJzL2Uyb0RvYy54bWxQSwUGAAAAAAYABgBZAQAAeAUAAAAA&#10;">
                <v:path/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3．引领力指标：在供应链整合、创新平台建设等产业发展关键环节具备良好基础。在国内资源配置中占据主导地位。对产业链有较强的引领整合能力，能够带动上下游、中小企业协同发展。</w: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4．影响力指标：在市场开拓、收入比重、产能布局等方面国际化程度高。加快绿色低碳发展，万元产值综合能耗、单位产品综合能耗优于行业平均水平。履行社会责任，企业文化先进，企业家精神和工匠精神作用彰显，人才队伍结构合理。</w: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5．治理力指标：具有完善的法人治理机构、企业管理制度，取得相关管理体系证书。管理理念先进、战略目标清晰、管理基础扎实。经营能力和效益水平高。</w:t>
      </w:r>
    </w:p>
    <w:p>
      <w:pPr>
        <w:spacing w:line="576" w:lineRule="exact"/>
        <w:ind w:firstLine="640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6．其他指标：主营业务收入达到100亿元以上。国家级制造业单项冠军企业、入选世界一流专精特新示范企业优先纳入培育库，不受此限制。</w:t>
      </w:r>
    </w:p>
    <w:p>
      <w:r>
        <w:rPr>
          <w:rFonts w:eastAsia="仿宋_GB2312"/>
          <w:bCs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YjA1YWEwZDk0YjkyYTg5ZWUwMmRhMjhlM2Y5MGMifQ=="/>
  </w:docVars>
  <w:rsids>
    <w:rsidRoot w:val="00000000"/>
    <w:rsid w:val="04C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2023-08-03T07:53:03Z</dcterms:created>
  <dc:creator>赵一鸣</dc:creator>
  <cp:lastModifiedBy>赵一鸣</cp:lastModifiedBy>
  <dcterms:modified xsi:type="dcterms:W3CDTF">2023-08-03T07:53:12Z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F34C242A664C4C718803BD81FCAFC135</vt:lpwstr>
  </property>
</Properties>
</file>