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Toc844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陕西省西咸新区空港新城管委会</w:t>
      </w:r>
      <w:bookmarkEnd w:id="0"/>
      <w:bookmarkStart w:id="1" w:name="_Toc2381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扶持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跨境电子商务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产业发展奖补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为贯彻落实《陕西省人民政府办公厅关于印发中国(西安)跨境电子商务综合试验区实施方案的通知》(陕政办函〔2018〕332号)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深入推进空港新城跨境电子商务健康快速发展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优化空港新城跨境电子商务发展环境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结合空港新城实际，特制定本指南。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一、申报范围及要求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适用于工商注册、税务登记和统计关系均在空港新城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具有独立法人资格和健全的财务管理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无不良经营行为和社会影响，无重大安全事故发生，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须与管委会签订入区合同且</w:t>
      </w:r>
      <w:r>
        <w:rPr>
          <w:rFonts w:hint="eastAsia" w:ascii="仿宋_GB2312" w:eastAsia="仿宋_GB2312"/>
          <w:sz w:val="32"/>
          <w:szCs w:val="32"/>
        </w:rPr>
        <w:t>无违反项目投资合同或租赁合同情形出现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以下两类企业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Fonts w:ascii="楷体_GB2312" w:hAnsi="楷体" w:eastAsia="楷体_GB2312"/>
          <w:b/>
          <w:sz w:val="32"/>
          <w:szCs w:val="32"/>
          <w:highlight w:val="none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（一）跨境电子商务</w:t>
      </w:r>
      <w:r>
        <w:rPr>
          <w:rFonts w:hint="eastAsia" w:ascii="楷体_GB2312" w:hAnsi="楷体" w:eastAsia="楷体_GB2312"/>
          <w:b/>
          <w:sz w:val="32"/>
          <w:szCs w:val="32"/>
          <w:lang w:eastAsia="zh-CN"/>
        </w:rPr>
        <w:t>、</w:t>
      </w:r>
      <w:r>
        <w:rPr>
          <w:rFonts w:hint="eastAsia" w:ascii="楷体_GB2312" w:hAnsi="楷体" w:eastAsia="楷体_GB2312"/>
          <w:b/>
          <w:sz w:val="32"/>
          <w:szCs w:val="32"/>
          <w:highlight w:val="none"/>
          <w:lang w:eastAsia="zh-CN"/>
        </w:rPr>
        <w:t>国际快件</w:t>
      </w:r>
      <w:r>
        <w:rPr>
          <w:rFonts w:hint="eastAsia" w:ascii="楷体_GB2312" w:hAnsi="楷体" w:eastAsia="楷体_GB2312"/>
          <w:b/>
          <w:sz w:val="32"/>
          <w:szCs w:val="32"/>
          <w:highlight w:val="none"/>
        </w:rPr>
        <w:t>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利用自有或第三方跨境电子商务平台开展进出口、跨境商品交易、销售活动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及国际快件业务</w:t>
      </w:r>
      <w:r>
        <w:rPr>
          <w:rFonts w:hint="eastAsia" w:ascii="仿宋_GB2312" w:eastAsia="仿宋_GB2312"/>
          <w:sz w:val="32"/>
          <w:szCs w:val="32"/>
        </w:rPr>
        <w:t>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（二）跨境电子商务场所运营企业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为跨境电商、国际快件企业提供相关服务的海关监管场所运营主体</w:t>
      </w:r>
      <w:r>
        <w:rPr>
          <w:rFonts w:hint="eastAsia" w:ascii="仿宋_GB2312" w:eastAsia="仿宋_GB2312"/>
          <w:sz w:val="32"/>
          <w:szCs w:val="32"/>
        </w:rPr>
        <w:t>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本次申报数据统计周期为2021年1月1日至2021年6月30日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（一）申报企业开展进出口业务</w:t>
      </w:r>
      <w:r>
        <w:rPr>
          <w:rFonts w:hint="eastAsia" w:ascii="楷体_GB2312" w:hAnsi="楷体" w:eastAsia="楷体_GB2312"/>
          <w:b/>
          <w:strike w:val="0"/>
          <w:dstrike w:val="0"/>
          <w:color w:val="auto"/>
          <w:sz w:val="32"/>
          <w:szCs w:val="32"/>
        </w:rPr>
        <w:t>（填写：附表一）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开展跨境电商保税备货进口业务（1210进口）的企业，年交易额超过20万美元（含）的，每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1美元奖励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0.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0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元人民币，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单一企业年度奖励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金额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不超过100万元人民币。开展特殊区域出口业务（1210出口）的企业，年出口贸易额超过100万美元（含）的，每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1美元奖励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0.10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元人民币，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单一企业年度奖励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金额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不超过100万元人民币。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开展跨境电商直邮进出口业务（9610）、跨境电商企业对企业直接出口（9710）、跨境电商出口海外仓（9810）业务的企业，年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进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出口贸易额超过500万美元（含）的，每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1美元奖励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0.10</w:t>
      </w:r>
      <w:r>
        <w:rPr>
          <w:rFonts w:ascii="Times New Roman" w:hAnsi="仿宋_GB2312" w:eastAsia="仿宋_GB2312"/>
          <w:b w:val="0"/>
          <w:bCs/>
          <w:color w:val="000000"/>
          <w:sz w:val="32"/>
          <w:szCs w:val="32"/>
        </w:rPr>
        <w:t>元人民币，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单一企业年度奖励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金额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不超过100万元人民币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/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3、</w:t>
      </w:r>
      <w:r>
        <w:rPr>
          <w:rFonts w:hint="eastAsia" w:ascii="Times New Roman" w:hAnsi="仿宋_GB2312" w:eastAsia="仿宋_GB2312"/>
          <w:b w:val="0"/>
          <w:bCs/>
          <w:sz w:val="32"/>
          <w:szCs w:val="32"/>
        </w:rPr>
        <w:t>对开展跨境电子商务、国际快件业务的企业，货物处理场地与西安咸阳国际机场接驳距离超过5公里的，按照0.05元人民币/公斤/公里标准给予货物单程接驳奖励，单一企业年度接驳奖励金额不超过50万元人民币。</w:t>
      </w:r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319" w:leftChars="152" w:firstLine="321" w:firstLineChars="100"/>
        <w:rPr>
          <w:rFonts w:ascii="Times New Roman" w:hAnsi="Times New Roman" w:eastAsia="仿宋_GB2312"/>
          <w:b w:val="0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（二）</w:t>
      </w:r>
      <w:r>
        <w:rPr>
          <w:rFonts w:hint="eastAsia" w:ascii="楷体_GB2312" w:hAnsi="楷体" w:eastAsia="楷体_GB2312"/>
          <w:b/>
          <w:sz w:val="32"/>
          <w:szCs w:val="32"/>
          <w:highlight w:val="none"/>
        </w:rPr>
        <w:t>申报企业</w:t>
      </w:r>
      <w:r>
        <w:rPr>
          <w:rFonts w:hint="eastAsia" w:ascii="楷体_GB2312" w:hAnsi="楷体" w:eastAsia="楷体_GB2312"/>
          <w:b/>
          <w:sz w:val="32"/>
          <w:szCs w:val="32"/>
          <w:highlight w:val="none"/>
          <w:lang w:eastAsia="zh-CN"/>
        </w:rPr>
        <w:t>为跨境电商平台企业</w:t>
      </w:r>
      <w:r>
        <w:rPr>
          <w:rFonts w:hint="eastAsia" w:ascii="楷体_GB2312" w:hAnsi="楷体" w:eastAsia="楷体_GB2312"/>
          <w:b/>
          <w:strike w:val="0"/>
          <w:dstrike w:val="0"/>
          <w:color w:val="auto"/>
          <w:sz w:val="32"/>
          <w:szCs w:val="32"/>
        </w:rPr>
        <w:t>（填写：附表二</w:t>
      </w:r>
      <w:r>
        <w:rPr>
          <w:rFonts w:hint="eastAsia" w:ascii="楷体_GB2312" w:hAnsi="楷体" w:eastAsia="楷体_GB2312"/>
          <w:b/>
          <w:strike w:val="0"/>
          <w:dstrike w:val="0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" w:eastAsia="楷体_GB2312"/>
          <w:b/>
          <w:sz w:val="32"/>
          <w:szCs w:val="32"/>
        </w:rPr>
        <w:tab/>
      </w:r>
      <w:r>
        <w:rPr>
          <w:rFonts w:hint="eastAsia" w:ascii="楷体_GB2312" w:hAnsi="楷体" w:eastAsia="楷体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对服务跨境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电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商进出口企业20家以上、年交易额达</w:t>
      </w:r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sz w:val="32"/>
          <w:szCs w:val="32"/>
        </w:rPr>
        <w:t>到500万美元以上的跨境电商平台，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按照年交易额的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0.1%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给予运营服务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奖励，单一平台年度奖励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金额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不超过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CN"/>
        </w:rPr>
        <w:t>50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万元人民币。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Fonts w:ascii="楷体_GB2312" w:hAnsi="楷体" w:eastAsia="楷体_GB2312"/>
          <w:b/>
          <w:strike/>
          <w:dstrike w:val="0"/>
          <w:color w:val="FF0000"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（三）申报企业</w:t>
      </w:r>
      <w:r>
        <w:rPr>
          <w:rFonts w:hint="eastAsia" w:ascii="楷体_GB2312" w:hAnsi="楷体" w:eastAsia="楷体_GB2312"/>
          <w:b/>
          <w:sz w:val="32"/>
          <w:szCs w:val="32"/>
          <w:lang w:val="en-US" w:eastAsia="zh-CN"/>
        </w:rPr>
        <w:t>建设</w:t>
      </w:r>
      <w:r>
        <w:rPr>
          <w:rFonts w:hint="eastAsia" w:ascii="楷体_GB2312" w:hAnsi="楷体" w:eastAsia="楷体_GB2312"/>
          <w:b/>
          <w:sz w:val="32"/>
          <w:szCs w:val="32"/>
        </w:rPr>
        <w:t>综保区外跨境电商园区、国际快件监管场所</w:t>
      </w:r>
      <w:r>
        <w:rPr>
          <w:rFonts w:hint="eastAsia" w:ascii="楷体_GB2312" w:hAnsi="楷体" w:eastAsia="楷体_GB2312"/>
          <w:b/>
          <w:strike w:val="0"/>
          <w:dstrike w:val="0"/>
          <w:color w:val="auto"/>
          <w:sz w:val="32"/>
          <w:szCs w:val="32"/>
        </w:rPr>
        <w:t>（填写：附表三）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仿宋_GB2312" w:eastAsia="仿宋_GB2312"/>
          <w:b w:val="0"/>
          <w:bCs w:val="0"/>
          <w:sz w:val="32"/>
          <w:szCs w:val="32"/>
        </w:rPr>
        <w:t>对</w:t>
      </w:r>
      <w:r>
        <w:rPr>
          <w:rFonts w:ascii="Times New Roman" w:hAnsi="仿宋_GB2312" w:eastAsia="仿宋_GB2312"/>
          <w:b w:val="0"/>
          <w:bCs w:val="0"/>
          <w:sz w:val="32"/>
          <w:szCs w:val="32"/>
        </w:rPr>
        <w:t>固定资产</w:t>
      </w:r>
      <w:r>
        <w:rPr>
          <w:rFonts w:hint="eastAsia" w:ascii="Times New Roman" w:hAnsi="仿宋_GB2312" w:eastAsia="仿宋_GB2312"/>
          <w:b w:val="0"/>
          <w:bCs w:val="0"/>
          <w:sz w:val="32"/>
          <w:szCs w:val="32"/>
        </w:rPr>
        <w:t>投资</w:t>
      </w:r>
      <w:r>
        <w:rPr>
          <w:rFonts w:ascii="Times New Roman" w:hAnsi="仿宋_GB2312" w:eastAsia="仿宋_GB2312"/>
          <w:b w:val="0"/>
          <w:bCs w:val="0"/>
          <w:sz w:val="32"/>
          <w:szCs w:val="32"/>
        </w:rPr>
        <w:t>总额</w:t>
      </w:r>
      <w:r>
        <w:rPr>
          <w:rFonts w:hint="eastAsia" w:ascii="Times New Roman" w:hAnsi="仿宋_GB2312" w:eastAsia="仿宋_GB2312"/>
          <w:b w:val="0"/>
          <w:bCs w:val="0"/>
          <w:sz w:val="32"/>
          <w:szCs w:val="32"/>
        </w:rPr>
        <w:t>超过</w:t>
      </w:r>
      <w:r>
        <w:rPr>
          <w:rFonts w:ascii="Times New Roman" w:hAnsi="仿宋_GB2312" w:eastAsia="仿宋_GB2312"/>
          <w:b w:val="0"/>
          <w:bCs w:val="0"/>
          <w:sz w:val="32"/>
          <w:szCs w:val="32"/>
        </w:rPr>
        <w:t>1亿元人民币以上的综保区外</w:t>
      </w:r>
      <w:r>
        <w:rPr>
          <w:rFonts w:hint="eastAsia" w:ascii="Times New Roman" w:hAnsi="仿宋_GB2312" w:eastAsia="仿宋_GB2312"/>
          <w:b w:val="0"/>
          <w:bCs w:val="0"/>
          <w:sz w:val="32"/>
          <w:szCs w:val="32"/>
        </w:rPr>
        <w:t>跨境电商园区、国际快件监管场所项目。正式运营后，按照项目固定资产投资总额的2%</w:t>
      </w:r>
      <w:r>
        <w:rPr>
          <w:rFonts w:ascii="Times New Roman" w:hAnsi="仿宋_GB2312" w:eastAsia="仿宋_GB2312"/>
          <w:b w:val="0"/>
          <w:bCs w:val="0"/>
          <w:sz w:val="32"/>
          <w:szCs w:val="32"/>
        </w:rPr>
        <w:t>给予一次性投资建设奖励</w:t>
      </w:r>
      <w:r>
        <w:rPr>
          <w:rFonts w:hint="eastAsia" w:ascii="Times New Roman" w:hAnsi="仿宋_GB2312" w:eastAsia="仿宋_GB2312"/>
          <w:b w:val="0"/>
          <w:bCs w:val="0"/>
          <w:sz w:val="32"/>
          <w:szCs w:val="32"/>
        </w:rPr>
        <w:t>，</w:t>
      </w:r>
      <w:r>
        <w:rPr>
          <w:rFonts w:ascii="Times New Roman" w:hAnsi="仿宋_GB2312" w:eastAsia="仿宋_GB2312"/>
          <w:b w:val="0"/>
          <w:bCs w:val="0"/>
          <w:sz w:val="32"/>
          <w:szCs w:val="32"/>
        </w:rPr>
        <w:t>单一项目</w:t>
      </w:r>
      <w:r>
        <w:rPr>
          <w:rFonts w:hint="eastAsia" w:ascii="Times New Roman" w:hAnsi="仿宋_GB2312" w:eastAsia="仿宋_GB2312"/>
          <w:b w:val="0"/>
          <w:bCs w:val="0"/>
          <w:sz w:val="32"/>
          <w:szCs w:val="32"/>
        </w:rPr>
        <w:t>奖励金额不超过300</w:t>
      </w:r>
      <w:r>
        <w:rPr>
          <w:rFonts w:ascii="Times New Roman" w:hAnsi="仿宋_GB2312" w:eastAsia="仿宋_GB2312"/>
          <w:b w:val="0"/>
          <w:bCs w:val="0"/>
          <w:sz w:val="32"/>
          <w:szCs w:val="32"/>
        </w:rPr>
        <w:t>万元人民币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6、</w:t>
      </w:r>
      <w:r>
        <w:rPr>
          <w:rFonts w:hint="eastAsia" w:ascii="Times New Roman" w:hAnsi="仿宋_GB2312" w:eastAsia="仿宋_GB2312"/>
          <w:b w:val="0"/>
          <w:bCs w:val="0"/>
          <w:sz w:val="32"/>
          <w:szCs w:val="32"/>
        </w:rPr>
        <w:t>对年处理国际快件单量超过100万单的跨境电商园区、国际快件监管场所，每单奖励1元人民币</w:t>
      </w:r>
      <w:r>
        <w:rPr>
          <w:rFonts w:hint="eastAsia" w:ascii="Times New Roman" w:hAns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/>
          <w:b w:val="0"/>
          <w:bCs w:val="0"/>
          <w:sz w:val="32"/>
          <w:szCs w:val="32"/>
        </w:rPr>
        <w:t>单一园区、监管场所年度奖励金额不超过300万元人民币。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（四）</w:t>
      </w:r>
      <w:r>
        <w:rPr>
          <w:rFonts w:hint="eastAsia" w:ascii="楷体_GB2312" w:hAnsi="楷体" w:eastAsia="楷体_GB2312"/>
          <w:b/>
          <w:sz w:val="32"/>
          <w:szCs w:val="32"/>
          <w:highlight w:val="none"/>
        </w:rPr>
        <w:t>申报</w:t>
      </w:r>
      <w:r>
        <w:rPr>
          <w:rFonts w:hint="eastAsia" w:ascii="楷体_GB2312" w:hAnsi="楷体" w:eastAsia="楷体_GB2312"/>
          <w:b/>
          <w:sz w:val="32"/>
          <w:szCs w:val="32"/>
          <w:highlight w:val="none"/>
          <w:lang w:eastAsia="zh-CN"/>
        </w:rPr>
        <w:t>企业为</w:t>
      </w:r>
      <w:r>
        <w:rPr>
          <w:rFonts w:hint="eastAsia" w:ascii="楷体_GB2312" w:hAnsi="楷体" w:eastAsia="楷体_GB2312"/>
          <w:b/>
          <w:sz w:val="32"/>
          <w:szCs w:val="32"/>
          <w:highlight w:val="none"/>
        </w:rPr>
        <w:t>外资投资开办企业</w:t>
      </w:r>
      <w:r>
        <w:rPr>
          <w:rFonts w:hint="eastAsia" w:ascii="楷体_GB2312" w:hAnsi="楷体" w:eastAsia="楷体_GB2312"/>
          <w:b/>
          <w:strike w:val="0"/>
          <w:dstrike w:val="0"/>
          <w:color w:val="auto"/>
          <w:sz w:val="32"/>
          <w:szCs w:val="32"/>
          <w:highlight w:val="none"/>
        </w:rPr>
        <w:t>（</w:t>
      </w:r>
      <w:r>
        <w:rPr>
          <w:rFonts w:hint="eastAsia" w:ascii="楷体_GB2312" w:hAnsi="楷体" w:eastAsia="楷体_GB2312"/>
          <w:b/>
          <w:strike w:val="0"/>
          <w:dstrike w:val="0"/>
          <w:color w:val="auto"/>
          <w:sz w:val="32"/>
          <w:szCs w:val="32"/>
        </w:rPr>
        <w:t>填写：附表四）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新落户跨境电商企业外资实缴注册资本达到300万美元(含)以上的，按照实缴注册资本的1%给予一次性奖励，经认定后，单一企业奖励金额不超过300万元人民币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1、陕西省西咸新区空港新城管委会关于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扶持</w:t>
      </w:r>
      <w:r>
        <w:rPr>
          <w:rFonts w:hint="eastAsia" w:ascii="Times New Roman" w:hAnsi="Times New Roman" w:eastAsia="仿宋_GB2312"/>
          <w:sz w:val="32"/>
          <w:szCs w:val="32"/>
        </w:rPr>
        <w:t>跨境电子商务产业发展奖补类</w:t>
      </w:r>
      <w:r>
        <w:rPr>
          <w:rFonts w:ascii="Times New Roman" w:hAnsi="Times New Roman" w:eastAsia="仿宋_GB2312"/>
          <w:sz w:val="32"/>
          <w:szCs w:val="32"/>
        </w:rPr>
        <w:t>项目申请书；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2、营业执照、法定代表人身份证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与管委会签订入区合同的</w:t>
      </w:r>
      <w:r>
        <w:rPr>
          <w:rFonts w:ascii="Times New Roman" w:hAnsi="Times New Roman" w:eastAsia="仿宋_GB2312"/>
          <w:sz w:val="32"/>
          <w:szCs w:val="32"/>
        </w:rPr>
        <w:t>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、20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年企业审计报告及近三个月企业财务报表；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4、进出口贸易额统计表、海关适用汇率表、交易额统计表、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支付记录（跨境电商进口）、结汇证明（跨境电商出口）以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及相应进出口货物报关单复印件；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申请入驻补贴的企业还须附与入驻企业签订的合同复印件；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6、申请建设补贴的企业须附</w:t>
      </w:r>
      <w:r>
        <w:rPr>
          <w:rFonts w:hint="eastAsia" w:ascii="Times New Roman" w:hAnsi="仿宋_GB2312" w:eastAsia="仿宋_GB2312"/>
          <w:b w:val="0"/>
          <w:bCs w:val="0"/>
          <w:sz w:val="32"/>
          <w:szCs w:val="32"/>
          <w:lang w:val="en-US" w:eastAsia="zh-CN"/>
        </w:rPr>
        <w:t>财务报表“固定资产”科目清单、固定资产采购合同及发票复印件以及现场照片；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b w:val="0"/>
          <w:bCs w:val="0"/>
          <w:sz w:val="32"/>
          <w:szCs w:val="32"/>
          <w:lang w:val="en-US" w:eastAsia="zh-CN"/>
        </w:rPr>
        <w:t>7、申请外资补贴的企业须附银行实缴资本证明。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b w:val="0"/>
          <w:bCs w:val="0"/>
          <w:sz w:val="32"/>
          <w:szCs w:val="32"/>
          <w:lang w:val="en-US" w:eastAsia="zh-CN"/>
        </w:rPr>
        <w:t>8、以上所有证明材料均需加盖申报企业公章。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申报时间为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1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日至202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>9月3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日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过期将不予受理，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请申报企业于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申报期限内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至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eastAsia="zh-CN"/>
        </w:rPr>
        <w:t>空港新城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政务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eastAsia="zh-CN"/>
        </w:rPr>
        <w:t>服务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大厅政策兑现窗口（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，提交申报材料</w:t>
      </w:r>
      <w:r>
        <w:rPr>
          <w:rFonts w:hint="eastAsia" w:ascii="仿宋_GB2312" w:hAnsi="黑体" w:eastAsia="仿宋_GB2312"/>
          <w:sz w:val="32"/>
          <w:szCs w:val="32"/>
        </w:rPr>
        <w:t>一式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黑体" w:eastAsia="仿宋_GB2312"/>
          <w:sz w:val="32"/>
          <w:szCs w:val="32"/>
        </w:rPr>
        <w:t>份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所有材料均需逐页加盖申报企业公章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窗口地址：空港新城政务服务大厅2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号窗口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咨询电话：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>高  侨     13152489603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 xml:space="preserve">          乔亦玥   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 xml:space="preserve"> 13609113000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仿宋_GB2312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空港新城扶持跨境电子商务产业发展奖补类项目申请书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u w:val="single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2"/>
        <w:tblW w:w="9120" w:type="dxa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672"/>
        <w:gridCol w:w="1144"/>
        <w:gridCol w:w="2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7" w:type="dxa"/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项 目 类 型：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7" w:type="dxa"/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申 请 单 位（公章）：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7" w:type="dxa"/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26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>　</w:t>
            </w:r>
          </w:p>
        </w:tc>
        <w:tc>
          <w:tcPr>
            <w:tcW w:w="11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7" w:type="dxa"/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项目联系人：</w:t>
            </w:r>
          </w:p>
        </w:tc>
        <w:tc>
          <w:tcPr>
            <w:tcW w:w="26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11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7" w:type="dxa"/>
            <w:shd w:val="clear" w:color="000000" w:fill="FFFFFF"/>
            <w:vAlign w:val="center"/>
          </w:tcPr>
          <w:p>
            <w:pPr>
              <w:widowControl/>
              <w:jc w:val="distribut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填 报 时 间：</w:t>
            </w:r>
          </w:p>
        </w:tc>
        <w:tc>
          <w:tcPr>
            <w:tcW w:w="6233" w:type="dxa"/>
            <w:gridSpan w:val="3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</w:tbl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填表说明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1、企业填写申报表前需认真阅读填表说明。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2、企业承诺书、企业基本信息表为申报企业必须填写。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3、企业根据申报项目情况对应填写附表，其他空白附表不用装订在册。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4、附件资料前应有附件清单目录。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5、申报资料编制完成后，使用订书机装订或胶装，请勿使用其他装订方式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申报承诺书</w:t>
      </w:r>
    </w:p>
    <w:p>
      <w:pPr>
        <w:spacing w:line="576" w:lineRule="exact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我公司承诺：已熟悉并了解相关政策内容，此次政策申报的所有材料真实无误。并愿意承担相关由此引发的全部责任。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经办人签字：</w:t>
      </w:r>
    </w:p>
    <w:p>
      <w:pPr>
        <w:spacing w:line="576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法人代表签字：              单位公章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spacing w:line="576" w:lineRule="exact"/>
        <w:ind w:firstLine="960" w:firstLineChars="300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960" w:firstLineChars="300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76" w:lineRule="exact"/>
        <w:ind w:firstLine="960" w:firstLineChars="3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单位公章</w:t>
      </w:r>
      <w:r>
        <w:rPr>
          <w:rFonts w:hint="eastAsia" w:ascii="仿宋" w:hAnsi="仿宋" w:eastAsia="仿宋"/>
          <w:sz w:val="32"/>
          <w:szCs w:val="32"/>
        </w:rPr>
        <w:t>　　　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   月   日</w:t>
      </w:r>
    </w:p>
    <w:p/>
    <w:p/>
    <w:p/>
    <w:p/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jc w:val="center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企业基本信息表</w:t>
      </w:r>
    </w:p>
    <w:tbl>
      <w:tblPr>
        <w:tblStyle w:val="2"/>
        <w:tblW w:w="83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0"/>
        <w:gridCol w:w="1152"/>
        <w:gridCol w:w="1745"/>
        <w:gridCol w:w="1934"/>
        <w:gridCol w:w="318"/>
        <w:gridCol w:w="15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项目单位概况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   址</w:t>
            </w:r>
          </w:p>
        </w:tc>
        <w:tc>
          <w:tcPr>
            <w:tcW w:w="5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注册日期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注册资金(万元)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从业人员数（人）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是否高新技术企业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□国家级 □市级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近三年财务指标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营业收入(万元)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税  收(万元)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利润总额(万元)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资产总额(万元)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研发投入（万元）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申请奖补项目类别</w:t>
            </w:r>
          </w:p>
        </w:tc>
        <w:tc>
          <w:tcPr>
            <w:tcW w:w="5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申请奖补资金数额及用途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总金额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(万元)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研发经费(万元)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设备购置经费(万元)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运营补贴（万元）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其他费用(万元)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exac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申报单位意见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日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主管部门意见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日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</w:p>
        </w:tc>
      </w:tr>
    </w:tbl>
    <w:p>
      <w:pPr>
        <w:jc w:val="both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shd w:val="clear" w:color="auto" w:fill="FFFFFF"/>
          <w:lang w:eastAsia="zh-CN"/>
        </w:rPr>
        <w:t>附表一：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shd w:val="clear" w:color="auto" w:fill="FFFFFF"/>
        </w:rPr>
        <w:t>空港新城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企业开展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highlight w:val="none"/>
          <w:lang w:eastAsia="zh-CN"/>
        </w:rPr>
        <w:t>进出口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业务补贴申请表</w:t>
      </w:r>
    </w:p>
    <w:tbl>
      <w:tblPr>
        <w:tblStyle w:val="2"/>
        <w:tblW w:w="8422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78"/>
        <w:gridCol w:w="3120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年度纳税规模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其中：跨境电商综合税</w:t>
            </w:r>
          </w:p>
        </w:tc>
        <w:tc>
          <w:tcPr>
            <w:tcW w:w="30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企业所得税</w:t>
            </w:r>
          </w:p>
        </w:tc>
        <w:tc>
          <w:tcPr>
            <w:tcW w:w="30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总纳税额</w:t>
            </w:r>
          </w:p>
        </w:tc>
        <w:tc>
          <w:tcPr>
            <w:tcW w:w="30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进口货物情况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年进口货物总额（万元）</w:t>
            </w:r>
          </w:p>
        </w:tc>
        <w:tc>
          <w:tcPr>
            <w:tcW w:w="30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年进口货物总单量（万）</w:t>
            </w:r>
          </w:p>
        </w:tc>
        <w:tc>
          <w:tcPr>
            <w:tcW w:w="30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出口货物情况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年出口总额（万元）</w:t>
            </w:r>
          </w:p>
        </w:tc>
        <w:tc>
          <w:tcPr>
            <w:tcW w:w="30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年出口总单量（万）</w:t>
            </w:r>
          </w:p>
        </w:tc>
        <w:tc>
          <w:tcPr>
            <w:tcW w:w="30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申请奖补项目类别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申请奖补金额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申请奖补项目内容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已获奖补资金情况（包含省、市、新区、新城层面的奖补资金）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right"/>
        </w:trPr>
        <w:tc>
          <w:tcPr>
            <w:tcW w:w="8422" w:type="dxa"/>
            <w:gridSpan w:val="4"/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注：根据申报的项目类型提供相应的资质或证明材料</w:t>
            </w:r>
          </w:p>
        </w:tc>
      </w:tr>
    </w:tbl>
    <w:p>
      <w:pP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shd w:val="clear" w:color="auto" w:fill="FFFFFF"/>
          <w:lang w:eastAsia="zh-CN"/>
        </w:rPr>
        <w:t>附表二：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shd w:val="clear" w:color="auto" w:fill="FFFFFF"/>
        </w:rPr>
        <w:t>空港新城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跨境电商平台企业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补贴申请表</w:t>
      </w:r>
    </w:p>
    <w:tbl>
      <w:tblPr>
        <w:tblStyle w:val="2"/>
        <w:tblW w:w="8422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78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入住园区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运营时间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租赁面积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主营业务收入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职工人数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申请奖补项目类别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申请奖补金额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申请奖补项目内容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已获奖补资金情况（包含省、市、新区、新城层面的奖补资金）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right"/>
        </w:trPr>
        <w:tc>
          <w:tcPr>
            <w:tcW w:w="8422" w:type="dxa"/>
            <w:gridSpan w:val="3"/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注：根据申报的项目类型提供相应的资质或证明材料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附表三：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建设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综保区外跨境电商园区、国际快件监管场所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补贴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申请表</w:t>
      </w:r>
    </w:p>
    <w:tbl>
      <w:tblPr>
        <w:tblStyle w:val="2"/>
        <w:tblW w:w="8422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78"/>
        <w:gridCol w:w="2268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跨境电子商务监管仓库情况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运营时间</w:t>
            </w:r>
          </w:p>
        </w:tc>
        <w:tc>
          <w:tcPr>
            <w:tcW w:w="38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  <w:lang w:val="en-US" w:eastAsia="zh-CN"/>
              </w:rPr>
              <w:t>固定资产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投资额</w:t>
            </w:r>
          </w:p>
        </w:tc>
        <w:tc>
          <w:tcPr>
            <w:tcW w:w="38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年收入</w:t>
            </w:r>
          </w:p>
        </w:tc>
        <w:tc>
          <w:tcPr>
            <w:tcW w:w="38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申请奖补项目类别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申请奖补金额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申请奖补项目内容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已获奖补资金情况（包含省、市、新区、新城层面的奖补资金）</w:t>
            </w:r>
          </w:p>
        </w:tc>
        <w:tc>
          <w:tcPr>
            <w:tcW w:w="61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right"/>
        </w:trPr>
        <w:tc>
          <w:tcPr>
            <w:tcW w:w="8422" w:type="dxa"/>
            <w:gridSpan w:val="4"/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注：根据申报的项目类型提供相应的资质或证明材料</w:t>
            </w:r>
          </w:p>
        </w:tc>
      </w:tr>
    </w:tbl>
    <w:p>
      <w:pP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附表四：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  <w:shd w:val="clear" w:color="auto" w:fill="FFFFFF"/>
        </w:rPr>
        <w:t>空港新城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外资投资开办企业补贴申请表</w:t>
      </w:r>
    </w:p>
    <w:tbl>
      <w:tblPr>
        <w:tblStyle w:val="2"/>
        <w:tblW w:w="8422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78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是否落户空港新城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□是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落户时间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外资实缴注册资本（美元）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申请奖补项目类别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righ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申请奖补项目内容</w:t>
            </w:r>
          </w:p>
        </w:tc>
        <w:tc>
          <w:tcPr>
            <w:tcW w:w="61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right"/>
        </w:trPr>
        <w:tc>
          <w:tcPr>
            <w:tcW w:w="8422" w:type="dxa"/>
            <w:gridSpan w:val="3"/>
            <w:vAlign w:val="center"/>
          </w:tcPr>
          <w:p>
            <w:pPr>
              <w:autoSpaceDN w:val="0"/>
              <w:spacing w:line="420" w:lineRule="exac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注：根据申报的项目类型提供相应的资质或证明材料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52E89"/>
    <w:rsid w:val="045801C3"/>
    <w:rsid w:val="08CF1FBA"/>
    <w:rsid w:val="14633FE3"/>
    <w:rsid w:val="2DCE01E5"/>
    <w:rsid w:val="34452E89"/>
    <w:rsid w:val="34721A56"/>
    <w:rsid w:val="36E342B6"/>
    <w:rsid w:val="37161274"/>
    <w:rsid w:val="44BB3E2D"/>
    <w:rsid w:val="486F3A21"/>
    <w:rsid w:val="540728C1"/>
    <w:rsid w:val="557325C4"/>
    <w:rsid w:val="56CB36BE"/>
    <w:rsid w:val="5A560B1C"/>
    <w:rsid w:val="620121C8"/>
    <w:rsid w:val="670C5D9C"/>
    <w:rsid w:val="680A205E"/>
    <w:rsid w:val="702C3FE2"/>
    <w:rsid w:val="795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2021-06-18T08:41:00Z</dcterms:created>
  <dc:creator>tammy小桃儿</dc:creator>
  <cp:lastModifiedBy>乔乔乔</cp:lastModifiedBy>
  <dcterms:modified xsi:type="dcterms:W3CDTF">2021-08-20T09:19:53Z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41F55CBCA49441BEBDD03B200EE3714D</vt:lpwstr>
  </property>
</Properties>
</file>