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空港新城</w:t>
      </w:r>
      <w:r>
        <w:rPr>
          <w:rFonts w:hint="eastAsia" w:ascii="方正小标宋简体" w:hAnsi="方正小标宋简体" w:eastAsia="方正小标宋简体" w:cs="方正小标宋简体"/>
          <w:sz w:val="44"/>
          <w:szCs w:val="44"/>
        </w:rPr>
        <w:t>证明事项告知承诺制目录清单（样表格式及示例）</w:t>
      </w:r>
    </w:p>
    <w:bookmarkEnd w:id="0"/>
    <w:p>
      <w:pPr>
        <w:pStyle w:val="2"/>
        <w:snapToGrid w:val="0"/>
        <w:rPr>
          <w:rFonts w:hint="eastAsia" w:ascii="仿宋_GB2312" w:hAnsi="仿宋_GB2312" w:eastAsia="仿宋_GB2312" w:cs="仿宋_GB2312"/>
          <w:sz w:val="28"/>
          <w:szCs w:val="28"/>
          <w:lang w:eastAsia="zh-CN"/>
        </w:rPr>
      </w:pPr>
      <w:r>
        <w:rPr>
          <w:rFonts w:hint="eastAsia" w:ascii="黑体" w:hAnsi="黑体" w:eastAsia="黑体" w:cs="黑体"/>
          <w:sz w:val="30"/>
          <w:szCs w:val="30"/>
          <w:lang w:eastAsia="zh-CN"/>
        </w:rPr>
        <w:t>填报</w:t>
      </w:r>
      <w:r>
        <w:rPr>
          <w:rFonts w:hint="eastAsia" w:ascii="黑体" w:hAnsi="黑体" w:eastAsia="黑体" w:cs="黑体"/>
          <w:sz w:val="30"/>
          <w:szCs w:val="30"/>
        </w:rPr>
        <w:t>单位（盖章）：</w:t>
      </w:r>
      <w:r>
        <w:rPr>
          <w:rFonts w:hint="eastAsia" w:ascii="仿宋_GB2312" w:hAnsi="仿宋_GB2312" w:eastAsia="仿宋_GB2312" w:cs="仿宋_GB2312"/>
          <w:sz w:val="28"/>
          <w:szCs w:val="28"/>
          <w:lang w:eastAsia="zh-CN"/>
        </w:rPr>
        <w:t>（示例：应急管理部门）</w:t>
      </w: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 xml:space="preserve">    填表时间： </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7"/>
        <w:gridCol w:w="511"/>
        <w:gridCol w:w="1284"/>
        <w:gridCol w:w="1165"/>
        <w:gridCol w:w="3566"/>
        <w:gridCol w:w="1672"/>
        <w:gridCol w:w="1614"/>
        <w:gridCol w:w="1039"/>
        <w:gridCol w:w="1020"/>
        <w:gridCol w:w="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457" w:type="dxa"/>
            <w:shd w:val="clear" w:color="auto" w:fill="auto"/>
            <w:noWrap w:val="0"/>
            <w:vAlign w:val="center"/>
          </w:tcPr>
          <w:p>
            <w:pPr>
              <w:jc w:val="center"/>
              <w:rPr>
                <w:rFonts w:ascii="宋体" w:hAnsi="宋体"/>
                <w:b/>
                <w:bCs/>
                <w:sz w:val="24"/>
                <w:szCs w:val="24"/>
              </w:rPr>
            </w:pPr>
            <w:r>
              <w:rPr>
                <w:rFonts w:hint="eastAsia" w:ascii="宋体" w:hAnsi="宋体"/>
                <w:b/>
                <w:bCs/>
                <w:sz w:val="24"/>
                <w:szCs w:val="24"/>
              </w:rPr>
              <w:t>序号</w:t>
            </w:r>
          </w:p>
        </w:tc>
        <w:tc>
          <w:tcPr>
            <w:tcW w:w="511" w:type="dxa"/>
            <w:shd w:val="clear" w:color="auto" w:fill="auto"/>
            <w:noWrap w:val="0"/>
            <w:vAlign w:val="center"/>
          </w:tcPr>
          <w:p>
            <w:pPr>
              <w:jc w:val="center"/>
              <w:rPr>
                <w:rFonts w:ascii="宋体" w:hAnsi="宋体"/>
                <w:b/>
                <w:bCs/>
                <w:sz w:val="24"/>
                <w:szCs w:val="24"/>
              </w:rPr>
            </w:pPr>
            <w:r>
              <w:rPr>
                <w:rFonts w:hint="eastAsia" w:ascii="宋体" w:hAnsi="宋体"/>
                <w:b/>
                <w:bCs/>
                <w:sz w:val="24"/>
                <w:szCs w:val="24"/>
              </w:rPr>
              <w:t>单位</w:t>
            </w:r>
          </w:p>
        </w:tc>
        <w:tc>
          <w:tcPr>
            <w:tcW w:w="1284" w:type="dxa"/>
            <w:shd w:val="clear" w:color="auto" w:fill="auto"/>
            <w:noWrap w:val="0"/>
            <w:vAlign w:val="center"/>
          </w:tcPr>
          <w:p>
            <w:pPr>
              <w:jc w:val="center"/>
              <w:rPr>
                <w:rFonts w:ascii="宋体" w:hAnsi="宋体"/>
                <w:b/>
                <w:bCs/>
                <w:sz w:val="24"/>
                <w:szCs w:val="24"/>
              </w:rPr>
            </w:pPr>
            <w:r>
              <w:rPr>
                <w:rFonts w:hint="eastAsia" w:ascii="宋体" w:hAnsi="宋体"/>
                <w:b/>
                <w:bCs/>
                <w:sz w:val="24"/>
                <w:szCs w:val="24"/>
              </w:rPr>
              <w:t>证明事项名称</w:t>
            </w:r>
          </w:p>
        </w:tc>
        <w:tc>
          <w:tcPr>
            <w:tcW w:w="1165" w:type="dxa"/>
            <w:shd w:val="clear" w:color="auto" w:fill="auto"/>
            <w:noWrap w:val="0"/>
            <w:vAlign w:val="center"/>
          </w:tcPr>
          <w:p>
            <w:pPr>
              <w:jc w:val="center"/>
              <w:rPr>
                <w:rFonts w:hint="default" w:ascii="宋体" w:hAnsi="宋体" w:eastAsiaTheme="minorEastAsia"/>
                <w:b/>
                <w:bCs/>
                <w:sz w:val="24"/>
                <w:szCs w:val="24"/>
                <w:lang w:val="en-US" w:eastAsia="zh-CN"/>
              </w:rPr>
            </w:pPr>
            <w:r>
              <w:rPr>
                <w:rFonts w:hint="eastAsia" w:ascii="宋体" w:hAnsi="宋体"/>
                <w:b/>
                <w:bCs/>
                <w:sz w:val="24"/>
                <w:szCs w:val="24"/>
                <w:lang w:eastAsia="zh-CN"/>
              </w:rPr>
              <w:t>政务服务事项名称</w:t>
            </w:r>
          </w:p>
        </w:tc>
        <w:tc>
          <w:tcPr>
            <w:tcW w:w="3566" w:type="dxa"/>
            <w:shd w:val="clear" w:color="auto" w:fill="auto"/>
            <w:noWrap w:val="0"/>
            <w:vAlign w:val="center"/>
          </w:tcPr>
          <w:p>
            <w:pPr>
              <w:jc w:val="center"/>
              <w:rPr>
                <w:rFonts w:ascii="宋体" w:hAnsi="宋体"/>
                <w:b/>
                <w:bCs/>
                <w:sz w:val="24"/>
                <w:szCs w:val="24"/>
              </w:rPr>
            </w:pPr>
            <w:r>
              <w:rPr>
                <w:rFonts w:hint="eastAsia" w:ascii="宋体" w:hAnsi="宋体"/>
                <w:b/>
                <w:bCs/>
                <w:sz w:val="24"/>
                <w:szCs w:val="24"/>
              </w:rPr>
              <w:t>设定依据</w:t>
            </w:r>
          </w:p>
        </w:tc>
        <w:tc>
          <w:tcPr>
            <w:tcW w:w="1672" w:type="dxa"/>
            <w:shd w:val="clear" w:color="auto" w:fill="auto"/>
            <w:noWrap w:val="0"/>
            <w:vAlign w:val="center"/>
          </w:tcPr>
          <w:p>
            <w:pPr>
              <w:jc w:val="center"/>
              <w:rPr>
                <w:rFonts w:ascii="宋体" w:hAnsi="宋体"/>
                <w:b/>
                <w:bCs/>
                <w:sz w:val="24"/>
                <w:szCs w:val="24"/>
              </w:rPr>
            </w:pPr>
            <w:r>
              <w:rPr>
                <w:rFonts w:hint="eastAsia" w:ascii="宋体" w:hAnsi="宋体"/>
                <w:b/>
                <w:bCs/>
                <w:sz w:val="24"/>
                <w:szCs w:val="24"/>
              </w:rPr>
              <w:t>实行告知承诺制的证明材料内容</w:t>
            </w:r>
          </w:p>
        </w:tc>
        <w:tc>
          <w:tcPr>
            <w:tcW w:w="1614" w:type="dxa"/>
            <w:shd w:val="clear" w:color="auto" w:fill="auto"/>
            <w:noWrap w:val="0"/>
            <w:vAlign w:val="center"/>
          </w:tcPr>
          <w:p>
            <w:pPr>
              <w:jc w:val="center"/>
              <w:rPr>
                <w:rFonts w:hint="eastAsia" w:ascii="宋体" w:hAnsi="宋体" w:eastAsiaTheme="minorEastAsia"/>
                <w:b/>
                <w:bCs/>
                <w:sz w:val="24"/>
                <w:szCs w:val="24"/>
                <w:lang w:eastAsia="zh-CN"/>
              </w:rPr>
            </w:pPr>
            <w:r>
              <w:rPr>
                <w:rFonts w:hint="eastAsia" w:ascii="宋体" w:hAnsi="宋体"/>
                <w:b/>
                <w:bCs/>
                <w:sz w:val="24"/>
                <w:szCs w:val="24"/>
                <w:lang w:eastAsia="zh-CN"/>
              </w:rPr>
              <w:t>开具单位</w:t>
            </w:r>
          </w:p>
        </w:tc>
        <w:tc>
          <w:tcPr>
            <w:tcW w:w="1039" w:type="dxa"/>
            <w:shd w:val="clear" w:color="auto" w:fill="auto"/>
            <w:noWrap w:val="0"/>
            <w:vAlign w:val="center"/>
          </w:tcPr>
          <w:p>
            <w:pPr>
              <w:jc w:val="center"/>
              <w:rPr>
                <w:rFonts w:hint="eastAsia" w:ascii="宋体" w:hAnsi="宋体"/>
                <w:b/>
                <w:bCs/>
                <w:sz w:val="24"/>
                <w:szCs w:val="24"/>
                <w:lang w:eastAsia="zh-CN"/>
              </w:rPr>
            </w:pPr>
            <w:r>
              <w:rPr>
                <w:rFonts w:hint="eastAsia" w:ascii="宋体" w:hAnsi="宋体"/>
                <w:b/>
                <w:bCs/>
                <w:sz w:val="24"/>
                <w:szCs w:val="24"/>
                <w:lang w:eastAsia="zh-CN"/>
              </w:rPr>
              <w:t>是否适用告知承诺制</w:t>
            </w:r>
          </w:p>
        </w:tc>
        <w:tc>
          <w:tcPr>
            <w:tcW w:w="1020" w:type="dxa"/>
            <w:shd w:val="clear" w:color="auto" w:fill="auto"/>
            <w:noWrap w:val="0"/>
            <w:vAlign w:val="center"/>
          </w:tcPr>
          <w:p>
            <w:pPr>
              <w:jc w:val="center"/>
              <w:rPr>
                <w:rFonts w:hint="eastAsia" w:ascii="宋体" w:hAnsi="宋体"/>
                <w:b/>
                <w:bCs/>
                <w:sz w:val="24"/>
                <w:szCs w:val="24"/>
                <w:lang w:eastAsia="zh-CN"/>
              </w:rPr>
            </w:pPr>
            <w:r>
              <w:rPr>
                <w:rFonts w:hint="eastAsia" w:ascii="宋体" w:hAnsi="宋体"/>
                <w:b/>
                <w:bCs/>
                <w:sz w:val="24"/>
                <w:szCs w:val="24"/>
                <w:lang w:eastAsia="zh-CN"/>
              </w:rPr>
              <w:t>不列入告知承诺制理由</w:t>
            </w:r>
          </w:p>
        </w:tc>
        <w:tc>
          <w:tcPr>
            <w:tcW w:w="643" w:type="dxa"/>
            <w:shd w:val="clear" w:color="auto" w:fill="auto"/>
            <w:noWrap w:val="0"/>
            <w:vAlign w:val="center"/>
          </w:tcPr>
          <w:p>
            <w:pPr>
              <w:jc w:val="center"/>
              <w:rPr>
                <w:rFonts w:hint="eastAsia" w:ascii="宋体" w:hAnsi="宋体"/>
                <w:b/>
                <w:bCs/>
                <w:sz w:val="24"/>
                <w:szCs w:val="24"/>
                <w:lang w:eastAsia="zh-CN"/>
              </w:rPr>
            </w:pPr>
            <w:r>
              <w:rPr>
                <w:rFonts w:hint="eastAsia" w:ascii="宋体" w:hAnsi="宋体"/>
                <w:b/>
                <w:bCs/>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trPr>
        <w:tc>
          <w:tcPr>
            <w:tcW w:w="457" w:type="dxa"/>
            <w:shd w:val="clear" w:color="auto" w:fill="auto"/>
            <w:noWrap w:val="0"/>
            <w:vAlign w:val="center"/>
          </w:tcPr>
          <w:p>
            <w:pPr>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511" w:type="dxa"/>
            <w:shd w:val="clear" w:color="auto" w:fill="auto"/>
            <w:noWrap w:val="0"/>
            <w:vAlign w:val="center"/>
          </w:tcPr>
          <w:p>
            <w:pPr>
              <w:jc w:val="both"/>
              <w:rPr>
                <w:rFonts w:hint="eastAsia" w:ascii="仿宋_GB2312" w:hAnsi="仿宋_GB2312" w:eastAsia="仿宋_GB2312" w:cs="仿宋_GB2312"/>
                <w:sz w:val="18"/>
                <w:szCs w:val="18"/>
              </w:rPr>
            </w:pPr>
          </w:p>
        </w:tc>
        <w:tc>
          <w:tcPr>
            <w:tcW w:w="1284" w:type="dxa"/>
            <w:shd w:val="clear" w:color="auto" w:fill="auto"/>
            <w:noWrap w:val="0"/>
            <w:vAlign w:val="center"/>
          </w:tcPr>
          <w:p>
            <w:p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为从业人员缴纳工伤保险费的证明材料</w:t>
            </w:r>
          </w:p>
        </w:tc>
        <w:tc>
          <w:tcPr>
            <w:tcW w:w="1165" w:type="dxa"/>
            <w:shd w:val="clear" w:color="auto" w:fill="auto"/>
            <w:noWrap w:val="0"/>
            <w:vAlign w:val="center"/>
          </w:tcPr>
          <w:p>
            <w:p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安全生产许可证</w:t>
            </w:r>
            <w:r>
              <w:rPr>
                <w:rFonts w:hint="eastAsia" w:ascii="仿宋_GB2312" w:hAnsi="仿宋_GB2312" w:eastAsia="仿宋_GB2312" w:cs="仿宋_GB2312"/>
                <w:sz w:val="18"/>
                <w:szCs w:val="18"/>
                <w:lang w:eastAsia="zh-CN"/>
              </w:rPr>
              <w:t>核</w:t>
            </w:r>
            <w:r>
              <w:rPr>
                <w:rFonts w:hint="eastAsia" w:ascii="仿宋_GB2312" w:hAnsi="仿宋_GB2312" w:eastAsia="仿宋_GB2312" w:cs="仿宋_GB2312"/>
                <w:sz w:val="18"/>
                <w:szCs w:val="18"/>
              </w:rPr>
              <w:t xml:space="preserve">发  </w:t>
            </w:r>
          </w:p>
        </w:tc>
        <w:tc>
          <w:tcPr>
            <w:tcW w:w="3566" w:type="dxa"/>
            <w:shd w:val="clear" w:color="auto" w:fill="auto"/>
            <w:noWrap w:val="0"/>
            <w:vAlign w:val="center"/>
          </w:tcPr>
          <w:p>
            <w:pPr>
              <w:ind w:left="0" w:leftChars="0" w:hanging="8" w:firstLine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《中华人民共和国安全生产法》第四十八条“生产经营单位必须依法参加工伤保险，为从业人员缴纳保险费。  </w:t>
            </w:r>
          </w:p>
        </w:tc>
        <w:tc>
          <w:tcPr>
            <w:tcW w:w="1672" w:type="dxa"/>
            <w:shd w:val="clear" w:color="auto" w:fill="auto"/>
            <w:noWrap w:val="0"/>
            <w:vAlign w:val="center"/>
          </w:tcPr>
          <w:p>
            <w:pPr>
              <w:ind w:left="0" w:leftChars="0" w:hanging="8" w:firstLine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缴纳工伤保险费的证明材料  </w:t>
            </w:r>
          </w:p>
        </w:tc>
        <w:tc>
          <w:tcPr>
            <w:tcW w:w="1614" w:type="dxa"/>
            <w:shd w:val="clear" w:color="auto" w:fill="auto"/>
            <w:noWrap w:val="0"/>
            <w:vAlign w:val="center"/>
          </w:tcPr>
          <w:p>
            <w:pPr>
              <w:ind w:left="918" w:hanging="516" w:hangingChars="287"/>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社保部门</w:t>
            </w:r>
          </w:p>
        </w:tc>
        <w:tc>
          <w:tcPr>
            <w:tcW w:w="1039" w:type="dxa"/>
            <w:shd w:val="clear" w:color="auto" w:fill="auto"/>
            <w:noWrap w:val="0"/>
            <w:vAlign w:val="center"/>
          </w:tcPr>
          <w:p>
            <w:pPr>
              <w:ind w:left="918" w:hanging="516" w:hangingChars="287"/>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是</w:t>
            </w:r>
          </w:p>
        </w:tc>
        <w:tc>
          <w:tcPr>
            <w:tcW w:w="1020" w:type="dxa"/>
            <w:shd w:val="clear" w:color="auto" w:fill="auto"/>
            <w:noWrap w:val="0"/>
            <w:vAlign w:val="center"/>
          </w:tcPr>
          <w:p>
            <w:pPr>
              <w:ind w:left="0" w:leftChars="0" w:hanging="8" w:firstLineChars="0"/>
              <w:jc w:val="both"/>
              <w:rPr>
                <w:rFonts w:hint="eastAsia" w:ascii="仿宋_GB2312" w:hAnsi="仿宋_GB2312" w:eastAsia="仿宋_GB2312" w:cs="仿宋_GB2312"/>
                <w:sz w:val="18"/>
                <w:szCs w:val="18"/>
              </w:rPr>
            </w:pPr>
          </w:p>
        </w:tc>
        <w:tc>
          <w:tcPr>
            <w:tcW w:w="643" w:type="dxa"/>
            <w:shd w:val="clear" w:color="auto" w:fill="auto"/>
            <w:noWrap w:val="0"/>
            <w:vAlign w:val="center"/>
          </w:tcPr>
          <w:p>
            <w:pPr>
              <w:ind w:left="918" w:hanging="688" w:hangingChars="287"/>
              <w:jc w:val="both"/>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6" w:hRule="atLeast"/>
        </w:trPr>
        <w:tc>
          <w:tcPr>
            <w:tcW w:w="457" w:type="dxa"/>
            <w:shd w:val="clear" w:color="auto" w:fill="auto"/>
            <w:noWrap w:val="0"/>
            <w:vAlign w:val="center"/>
          </w:tcPr>
          <w:p>
            <w:pPr>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11" w:type="dxa"/>
            <w:shd w:val="clear" w:color="auto" w:fill="auto"/>
            <w:noWrap w:val="0"/>
            <w:vAlign w:val="center"/>
          </w:tcPr>
          <w:p>
            <w:pPr>
              <w:jc w:val="both"/>
              <w:rPr>
                <w:rFonts w:hint="eastAsia" w:ascii="仿宋_GB2312" w:hAnsi="仿宋_GB2312" w:eastAsia="仿宋_GB2312" w:cs="仿宋_GB2312"/>
                <w:sz w:val="18"/>
                <w:szCs w:val="18"/>
              </w:rPr>
            </w:pPr>
          </w:p>
        </w:tc>
        <w:tc>
          <w:tcPr>
            <w:tcW w:w="1284" w:type="dxa"/>
            <w:shd w:val="clear" w:color="auto" w:fill="auto"/>
            <w:noWrap w:val="0"/>
            <w:vAlign w:val="center"/>
          </w:tcPr>
          <w:p>
            <w:p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建设项目批准、核准或者备案文件和规划相关文件      </w:t>
            </w:r>
          </w:p>
        </w:tc>
        <w:tc>
          <w:tcPr>
            <w:tcW w:w="1165" w:type="dxa"/>
            <w:shd w:val="clear" w:color="auto" w:fill="auto"/>
            <w:noWrap w:val="0"/>
            <w:vAlign w:val="center"/>
          </w:tcPr>
          <w:p>
            <w:p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安全生产</w:t>
            </w:r>
            <w:r>
              <w:rPr>
                <w:rFonts w:hint="eastAsia" w:ascii="仿宋_GB2312" w:hAnsi="仿宋_GB2312" w:eastAsia="仿宋_GB2312" w:cs="仿宋_GB2312"/>
                <w:sz w:val="18"/>
                <w:szCs w:val="18"/>
                <w:lang w:eastAsia="zh-CN"/>
              </w:rPr>
              <w:t>许可证和</w:t>
            </w:r>
            <w:r>
              <w:rPr>
                <w:rFonts w:hint="eastAsia" w:ascii="仿宋_GB2312" w:hAnsi="仿宋_GB2312" w:eastAsia="仿宋_GB2312" w:cs="仿宋_GB2312"/>
                <w:sz w:val="18"/>
                <w:szCs w:val="18"/>
              </w:rPr>
              <w:t>安全生产使用许可证</w:t>
            </w:r>
            <w:r>
              <w:rPr>
                <w:rFonts w:hint="eastAsia" w:ascii="仿宋_GB2312" w:hAnsi="仿宋_GB2312" w:eastAsia="仿宋_GB2312" w:cs="仿宋_GB2312"/>
                <w:sz w:val="18"/>
                <w:szCs w:val="18"/>
                <w:lang w:eastAsia="zh-CN"/>
              </w:rPr>
              <w:t>核</w:t>
            </w:r>
            <w:r>
              <w:rPr>
                <w:rFonts w:hint="eastAsia" w:ascii="仿宋_GB2312" w:hAnsi="仿宋_GB2312" w:eastAsia="仿宋_GB2312" w:cs="仿宋_GB2312"/>
                <w:sz w:val="18"/>
                <w:szCs w:val="18"/>
              </w:rPr>
              <w:t>发</w:t>
            </w:r>
          </w:p>
        </w:tc>
        <w:tc>
          <w:tcPr>
            <w:tcW w:w="3566" w:type="dxa"/>
            <w:shd w:val="clear" w:color="auto" w:fill="auto"/>
            <w:noWrap w:val="0"/>
            <w:vAlign w:val="center"/>
          </w:tcPr>
          <w:p>
            <w:pPr>
              <w:ind w:left="0" w:leftChars="0" w:hanging="8" w:firstLineChars="0"/>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《危险化学品安全管理条例》(国务院令第344号发布，建设项目第591号修订)第十一条“国家对危险化学品的生产储存实行统筹规划、合理布局。国务院工业和信息化主</w:t>
            </w:r>
            <w:r>
              <w:rPr>
                <w:rFonts w:hint="eastAsia" w:ascii="仿宋_GB2312" w:hAnsi="仿宋_GB2312" w:eastAsia="仿宋_GB2312" w:cs="仿宋_GB2312"/>
                <w:sz w:val="18"/>
                <w:szCs w:val="18"/>
                <w:lang w:eastAsia="zh-CN"/>
              </w:rPr>
              <w:t>管</w:t>
            </w:r>
            <w:r>
              <w:rPr>
                <w:rFonts w:hint="eastAsia" w:ascii="仿宋_GB2312" w:hAnsi="仿宋_GB2312" w:eastAsia="仿宋_GB2312" w:cs="仿宋_GB2312"/>
                <w:sz w:val="18"/>
                <w:szCs w:val="18"/>
              </w:rPr>
              <w:t>部门以及国务院其他有关部门依据各自职责，负责危</w:t>
            </w:r>
            <w:r>
              <w:rPr>
                <w:rFonts w:hint="eastAsia" w:ascii="仿宋_GB2312" w:hAnsi="仿宋_GB2312" w:eastAsia="仿宋_GB2312" w:cs="仿宋_GB2312"/>
                <w:sz w:val="18"/>
                <w:szCs w:val="18"/>
                <w:lang w:eastAsia="zh-CN"/>
              </w:rPr>
              <w:t>险</w:t>
            </w:r>
            <w:r>
              <w:rPr>
                <w:rFonts w:hint="eastAsia" w:ascii="仿宋_GB2312" w:hAnsi="仿宋_GB2312" w:eastAsia="仿宋_GB2312" w:cs="仿宋_GB2312"/>
                <w:sz w:val="18"/>
                <w:szCs w:val="18"/>
              </w:rPr>
              <w:t>化学品生产、储存的行业规划和布局。地方人民政府编制城乡规划，应当根据本地区的实际情况，按照门确保安全的原则，规划适当区域专门用于危险化学品的生产、储存。</w:t>
            </w:r>
            <w:r>
              <w:rPr>
                <w:rFonts w:hint="eastAsia" w:ascii="仿宋_GB2312" w:hAnsi="仿宋_GB2312" w:eastAsia="仿宋_GB2312" w:cs="仿宋_GB2312"/>
                <w:sz w:val="18"/>
                <w:szCs w:val="18"/>
                <w:lang w:eastAsia="zh-CN"/>
              </w:rPr>
              <w:t>”</w:t>
            </w:r>
          </w:p>
        </w:tc>
        <w:tc>
          <w:tcPr>
            <w:tcW w:w="1672" w:type="dxa"/>
            <w:shd w:val="clear" w:color="auto" w:fill="auto"/>
            <w:noWrap w:val="0"/>
            <w:vAlign w:val="center"/>
          </w:tcPr>
          <w:p>
            <w:pPr>
              <w:ind w:left="0" w:leftChars="0" w:hanging="8" w:firstLineChars="0"/>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建设项目批准、核准或者备案证明和规划相关证明材料</w:t>
            </w:r>
          </w:p>
        </w:tc>
        <w:tc>
          <w:tcPr>
            <w:tcW w:w="1614" w:type="dxa"/>
            <w:shd w:val="clear" w:color="auto" w:fill="auto"/>
            <w:noWrap w:val="0"/>
            <w:vAlign w:val="center"/>
          </w:tcPr>
          <w:p>
            <w:pPr>
              <w:ind w:left="918" w:hanging="516" w:hangingChars="287"/>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发改部门、自然资源和规划部门</w:t>
            </w:r>
          </w:p>
        </w:tc>
        <w:tc>
          <w:tcPr>
            <w:tcW w:w="1039" w:type="dxa"/>
            <w:shd w:val="clear" w:color="auto" w:fill="auto"/>
            <w:noWrap w:val="0"/>
            <w:vAlign w:val="center"/>
          </w:tcPr>
          <w:p>
            <w:pPr>
              <w:ind w:left="918" w:hanging="516" w:hangingChars="287"/>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否</w:t>
            </w:r>
          </w:p>
        </w:tc>
        <w:tc>
          <w:tcPr>
            <w:tcW w:w="1020" w:type="dxa"/>
            <w:shd w:val="clear" w:color="auto" w:fill="auto"/>
            <w:noWrap w:val="0"/>
            <w:vAlign w:val="center"/>
          </w:tcPr>
          <w:p>
            <w:pPr>
              <w:ind w:left="-16" w:leftChars="-5" w:firstLine="9" w:firstLineChars="5"/>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涉及公共安全</w:t>
            </w:r>
          </w:p>
        </w:tc>
        <w:tc>
          <w:tcPr>
            <w:tcW w:w="643" w:type="dxa"/>
            <w:shd w:val="clear" w:color="auto" w:fill="auto"/>
            <w:noWrap w:val="0"/>
            <w:vAlign w:val="center"/>
          </w:tcPr>
          <w:p>
            <w:pPr>
              <w:ind w:left="918" w:hanging="688" w:hangingChars="287"/>
              <w:jc w:val="both"/>
              <w:rPr>
                <w:rFonts w:hint="eastAsia" w:ascii="仿宋_GB2312" w:hAnsi="仿宋_GB2312" w:eastAsia="仿宋_GB2312" w:cs="仿宋_GB2312"/>
                <w:sz w:val="24"/>
                <w:szCs w:val="24"/>
              </w:rPr>
            </w:pPr>
          </w:p>
        </w:tc>
      </w:tr>
    </w:tbl>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填报人：                                   联系电话：                          填报时间：</w:t>
      </w:r>
    </w:p>
    <w:p>
      <w:pPr>
        <w:jc w:val="left"/>
        <w:rPr>
          <w:rFonts w:hint="eastAsia" w:ascii="仿宋_GB2312" w:hAnsi="仿宋_GB2312" w:eastAsia="仿宋_GB2312" w:cs="仿宋_GB2312"/>
          <w:sz w:val="21"/>
          <w:szCs w:val="21"/>
        </w:rPr>
      </w:pP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1：证明事项无法律法规及省市行政规范性文件作为依据的，一律不得要求企业和群众再出具。以西安市行政规范性文件为依据的，不得超出2021年1月印发的《西安市司法局关于公布市级部门证明事项保留清单和市级部门证明事项取消清单的公告》范围。</w:t>
      </w:r>
    </w:p>
    <w:p>
      <w:pPr>
        <w:jc w:val="left"/>
        <w:rPr>
          <w:rFonts w:hint="eastAsia" w:ascii="Times New Roman" w:hAnsi="Times New Roman" w:eastAsia="黑体"/>
          <w:sz w:val="32"/>
          <w:szCs w:val="32"/>
        </w:rPr>
      </w:pPr>
      <w:r>
        <w:rPr>
          <w:rFonts w:hint="eastAsia" w:ascii="仿宋_GB2312" w:hAnsi="仿宋_GB2312" w:eastAsia="仿宋_GB2312" w:cs="仿宋_GB2312"/>
          <w:sz w:val="21"/>
          <w:szCs w:val="21"/>
        </w:rPr>
        <w:t>注2：原则上证明事项均实行告知承诺制，不列入告知承诺制理由限定为直接涉及国家安全、国家秘密、公共安全、金融业审慎监管、生态环境保护，直接关系人身健康、生命财产安全，以及重要涉外等风险较大、纠错成本较高、损害难以挽回的证明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仿宋">
    <w:altName w:val="仿宋"/>
    <w:panose1 w:val="02010604000101010101"/>
    <w:charset w:val="00"/>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44F6D"/>
    <w:rsid w:val="0A94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2021-07-23T03:30:00Z</dcterms:created>
  <dc:creator>SH</dc:creator>
  <cp:lastModifiedBy>SH</cp:lastModifiedBy>
  <dcterms:modified xsi:type="dcterms:W3CDTF">2021-07-23T03:30:56Z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D9A5B2EECF6E47BFAF0A8BF76D973F96</vt:lpwstr>
  </property>
</Properties>
</file>