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b w:val="0"/>
          <w:bCs/>
          <w:color w:val="auto"/>
          <w:sz w:val="44"/>
          <w:szCs w:val="44"/>
          <w:lang w:eastAsia="zh-CN"/>
        </w:rPr>
      </w:pPr>
      <w:r>
        <w:rPr>
          <w:rFonts w:hint="default" w:ascii="Times New Roman" w:hAnsi="Times New Roman" w:eastAsia="方正小标宋简体" w:cs="Times New Roman"/>
          <w:b w:val="0"/>
          <w:bCs/>
          <w:color w:val="auto"/>
          <w:sz w:val="44"/>
          <w:szCs w:val="44"/>
          <w:lang w:eastAsia="zh-CN"/>
        </w:rPr>
        <w:t>西咸新区空港新城</w:t>
      </w:r>
      <w:r>
        <w:rPr>
          <w:rFonts w:hint="default" w:ascii="Times New Roman" w:hAnsi="Times New Roman" w:eastAsia="方正小标宋简体" w:cs="Times New Roman"/>
          <w:b w:val="0"/>
          <w:bCs/>
          <w:color w:val="auto"/>
          <w:sz w:val="44"/>
          <w:szCs w:val="44"/>
        </w:rPr>
        <w:t>太平镇人民</w:t>
      </w:r>
      <w:r>
        <w:rPr>
          <w:rFonts w:hint="default" w:ascii="Times New Roman" w:hAnsi="Times New Roman" w:eastAsia="方正小标宋简体" w:cs="Times New Roman"/>
          <w:b w:val="0"/>
          <w:bCs/>
          <w:color w:val="auto"/>
          <w:sz w:val="44"/>
          <w:szCs w:val="44"/>
          <w:lang w:eastAsia="zh-CN"/>
        </w:rPr>
        <w:t>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b w:val="0"/>
          <w:bCs/>
          <w:color w:val="auto"/>
          <w:sz w:val="44"/>
          <w:szCs w:val="44"/>
          <w:lang w:val="en-US" w:eastAsia="zh-CN"/>
        </w:rPr>
      </w:pPr>
      <w:r>
        <w:rPr>
          <w:rFonts w:hint="default" w:ascii="Times New Roman" w:hAnsi="Times New Roman" w:eastAsia="方正小标宋简体" w:cs="Times New Roman"/>
          <w:b w:val="0"/>
          <w:bCs/>
          <w:color w:val="auto"/>
          <w:sz w:val="44"/>
          <w:szCs w:val="44"/>
          <w:lang w:val="en-US" w:eastAsia="zh-CN"/>
        </w:rPr>
        <w:t>201</w:t>
      </w:r>
      <w:r>
        <w:rPr>
          <w:rFonts w:hint="eastAsia" w:ascii="Times New Roman" w:hAnsi="Times New Roman" w:eastAsia="方正小标宋简体" w:cs="Times New Roman"/>
          <w:b w:val="0"/>
          <w:bCs/>
          <w:color w:val="auto"/>
          <w:sz w:val="44"/>
          <w:szCs w:val="44"/>
          <w:lang w:val="en-US" w:eastAsia="zh-CN"/>
        </w:rPr>
        <w:t>8</w:t>
      </w:r>
      <w:r>
        <w:rPr>
          <w:rFonts w:hint="default" w:ascii="Times New Roman" w:hAnsi="Times New Roman" w:eastAsia="方正小标宋简体" w:cs="Times New Roman"/>
          <w:b w:val="0"/>
          <w:bCs/>
          <w:color w:val="auto"/>
          <w:sz w:val="44"/>
          <w:szCs w:val="44"/>
          <w:lang w:val="en-US" w:eastAsia="zh-CN"/>
        </w:rPr>
        <w:t>年度部门决算说明</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640" w:leftChars="0" w:firstLine="0" w:firstLineChars="0"/>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部门主要职责</w:t>
      </w:r>
      <w:r>
        <w:rPr>
          <w:rFonts w:hint="eastAsia" w:ascii="Times New Roman" w:hAnsi="Times New Roman" w:eastAsia="黑体" w:cs="Times New Roman"/>
          <w:color w:val="auto"/>
          <w:sz w:val="32"/>
          <w:szCs w:val="32"/>
          <w:lang w:val="en-US" w:eastAsia="zh-CN"/>
        </w:rPr>
        <w:t>及机构设置</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贯彻执行党和国家的方针、政策、法律和法规，调查研究并制定适合本镇实际的政策措施。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组织制定全镇经济发展的中长期规划，搞好经济发展的总体布局和产业布局，制订并组织实施全镇农村现代化建设的规划和措施。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改善投资环境，做好招商引资工作，积极引导发展民营和外商投资企业。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完善统分结合的双层经营体制，巩固发展壮大村级集体经济，加强农村社会化服务体系建设，指导、协调农业生产和效益农业发展。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抓好全镇建设用地的规划管理工作。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负责全镇计划生育、九年义务教育、卫生工作计划的分解落实。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编制镇级财政计划，做好经费的划拨和核算工作，并指导、协调、监督农村合作经济组织的财务、会计、审计工作。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认真贯彻社会治安治理方针政策，组织、协调指导维护本辖区社会稳定工作。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auto"/>
          <w:sz w:val="32"/>
          <w:szCs w:val="32"/>
        </w:rPr>
        <w:t>9</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负责做好征兵工作及现役军人家属优抚、退伍军人的</w:t>
      </w:r>
      <w:r>
        <w:rPr>
          <w:rFonts w:hint="default" w:ascii="Times New Roman" w:hAnsi="Times New Roman" w:eastAsia="仿宋_GB2312" w:cs="Times New Roman"/>
          <w:color w:val="000000" w:themeColor="text1"/>
          <w:sz w:val="32"/>
          <w:szCs w:val="32"/>
          <w14:textFill>
            <w14:solidFill>
              <w14:schemeClr w14:val="tx1"/>
            </w14:solidFill>
          </w14:textFill>
        </w:rPr>
        <w:t>安置、社会救灾救济、养老保险和推行殡葬改革工作。</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二、2018 年度部门工作完成情况</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1、全力决胜脱贫攻坚</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2、全力建设美丽乡村</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全力打赢环境保护</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4、全力严守安全底线</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5、全力维护社会稳定</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640" w:leftChars="0"/>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6、全力落实从严治党</w:t>
      </w:r>
      <w:r>
        <w:rPr>
          <w:rFonts w:hint="default" w:ascii="Times New Roman" w:hAnsi="Times New Roman" w:eastAsia="仿宋_GB2312" w:cs="Times New Roman"/>
          <w:color w:val="auto"/>
          <w:sz w:val="32"/>
          <w:szCs w:val="32"/>
          <w:lang w:val="en-US" w:eastAsia="zh-CN"/>
        </w:rPr>
        <w:t>。</w:t>
      </w:r>
    </w:p>
    <w:p>
      <w:pPr>
        <w:ind w:firstLine="64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三、部门决算单位构成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从</w:t>
      </w:r>
      <w:r>
        <w:rPr>
          <w:rFonts w:hint="default" w:ascii="Times New Roman" w:hAnsi="Times New Roman" w:eastAsia="仿宋_GB2312" w:cs="Times New Roman"/>
          <w:color w:val="auto"/>
          <w:sz w:val="32"/>
          <w:szCs w:val="32"/>
          <w:lang w:val="en-US" w:eastAsia="zh-CN"/>
        </w:rPr>
        <w:t>决</w:t>
      </w:r>
      <w:r>
        <w:rPr>
          <w:rFonts w:hint="default" w:ascii="Times New Roman" w:hAnsi="Times New Roman" w:eastAsia="仿宋_GB2312" w:cs="Times New Roman"/>
          <w:color w:val="auto"/>
          <w:sz w:val="32"/>
          <w:szCs w:val="32"/>
          <w:lang w:eastAsia="zh-CN"/>
        </w:rPr>
        <w:t>算单位构成看，太平镇人民政府</w:t>
      </w:r>
      <w:r>
        <w:rPr>
          <w:rFonts w:hint="default" w:ascii="Times New Roman" w:hAnsi="Times New Roman" w:eastAsia="仿宋_GB2312" w:cs="Times New Roman"/>
          <w:color w:val="auto"/>
          <w:sz w:val="32"/>
          <w:szCs w:val="32"/>
          <w:lang w:val="en-US" w:eastAsia="zh-CN"/>
        </w:rPr>
        <w:t>决</w:t>
      </w:r>
      <w:r>
        <w:rPr>
          <w:rFonts w:hint="default" w:ascii="Times New Roman" w:hAnsi="Times New Roman" w:eastAsia="仿宋_GB2312" w:cs="Times New Roman"/>
          <w:color w:val="auto"/>
          <w:sz w:val="32"/>
          <w:szCs w:val="32"/>
          <w:lang w:eastAsia="zh-CN"/>
        </w:rPr>
        <w:t>算包括部门本级（机关）</w:t>
      </w:r>
      <w:r>
        <w:rPr>
          <w:rFonts w:hint="default" w:ascii="Times New Roman" w:hAnsi="Times New Roman" w:eastAsia="仿宋_GB2312" w:cs="Times New Roman"/>
          <w:color w:val="auto"/>
          <w:sz w:val="32"/>
          <w:szCs w:val="32"/>
          <w:lang w:val="en-US" w:eastAsia="zh-CN"/>
        </w:rPr>
        <w:t>决</w:t>
      </w:r>
      <w:r>
        <w:rPr>
          <w:rFonts w:hint="default" w:ascii="Times New Roman" w:hAnsi="Times New Roman" w:eastAsia="仿宋_GB2312" w:cs="Times New Roman"/>
          <w:color w:val="auto"/>
          <w:sz w:val="32"/>
          <w:szCs w:val="32"/>
          <w:lang w:eastAsia="zh-CN"/>
        </w:rPr>
        <w:t>算</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纳入本部门201</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eastAsia="zh-CN"/>
        </w:rPr>
        <w:t>年部门</w:t>
      </w:r>
      <w:r>
        <w:rPr>
          <w:rFonts w:hint="default" w:ascii="Times New Roman" w:hAnsi="Times New Roman" w:eastAsia="仿宋_GB2312" w:cs="Times New Roman"/>
          <w:color w:val="auto"/>
          <w:sz w:val="32"/>
          <w:szCs w:val="32"/>
          <w:lang w:val="en-US" w:eastAsia="zh-CN"/>
        </w:rPr>
        <w:t>决</w:t>
      </w:r>
      <w:r>
        <w:rPr>
          <w:rFonts w:hint="default" w:ascii="Times New Roman" w:hAnsi="Times New Roman" w:eastAsia="仿宋_GB2312" w:cs="Times New Roman"/>
          <w:color w:val="auto"/>
          <w:sz w:val="32"/>
          <w:szCs w:val="32"/>
          <w:lang w:eastAsia="zh-CN"/>
        </w:rPr>
        <w:t>算编制范围的二级</w:t>
      </w:r>
      <w:r>
        <w:rPr>
          <w:rFonts w:hint="default" w:ascii="Times New Roman" w:hAnsi="Times New Roman" w:eastAsia="仿宋_GB2312" w:cs="Times New Roman"/>
          <w:color w:val="auto"/>
          <w:sz w:val="32"/>
          <w:szCs w:val="32"/>
          <w:lang w:val="en-US" w:eastAsia="zh-CN"/>
        </w:rPr>
        <w:t>决</w:t>
      </w:r>
      <w:r>
        <w:rPr>
          <w:rFonts w:hint="default" w:ascii="Times New Roman" w:hAnsi="Times New Roman" w:eastAsia="仿宋_GB2312" w:cs="Times New Roman"/>
          <w:color w:val="auto"/>
          <w:sz w:val="32"/>
          <w:szCs w:val="32"/>
          <w:lang w:eastAsia="zh-CN"/>
        </w:rPr>
        <w:t>算单位共有</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lang w:eastAsia="zh-CN"/>
        </w:rPr>
        <w:t>个，包括：</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6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autoSpaceDE/>
              <w:autoSpaceDN/>
              <w:bidi w:val="0"/>
              <w:adjustRightInd/>
              <w:snapToGrid/>
              <w:spacing w:line="520" w:lineRule="exact"/>
              <w:ind w:firstLine="320" w:firstLineChars="1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序号</w:t>
            </w:r>
          </w:p>
        </w:tc>
        <w:tc>
          <w:tcPr>
            <w:tcW w:w="6923" w:type="dxa"/>
            <w:vAlign w:val="center"/>
          </w:tcPr>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w:t>
            </w:r>
          </w:p>
        </w:tc>
        <w:tc>
          <w:tcPr>
            <w:tcW w:w="6923" w:type="dxa"/>
            <w:vAlign w:val="center"/>
          </w:tcPr>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太平镇人民政府本级</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640" w:leftChars="0"/>
        <w:textAlignment w:val="auto"/>
        <w:outlineLvl w:val="9"/>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四</w:t>
      </w:r>
      <w:r>
        <w:rPr>
          <w:rFonts w:hint="default" w:ascii="Times New Roman" w:hAnsi="Times New Roman" w:eastAsia="黑体" w:cs="Times New Roman"/>
          <w:color w:val="auto"/>
          <w:sz w:val="32"/>
          <w:szCs w:val="32"/>
          <w:lang w:val="en-US" w:eastAsia="zh-CN"/>
        </w:rPr>
        <w:t>、部门人员情况说明</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截止2018年底，本部门人员编制</w:t>
      </w:r>
      <w:r>
        <w:rPr>
          <w:rFonts w:hint="eastAsia" w:ascii="仿宋_GB2312" w:hAnsi="仿宋_GB2312" w:eastAsia="仿宋_GB2312" w:cs="仿宋_GB2312"/>
          <w:sz w:val="32"/>
          <w:szCs w:val="32"/>
          <w:lang w:val="en-US" w:eastAsia="zh-CN"/>
        </w:rPr>
        <w:t>79</w:t>
      </w:r>
      <w:r>
        <w:rPr>
          <w:rFonts w:hint="eastAsia" w:ascii="仿宋_GB2312" w:hAnsi="仿宋_GB2312" w:eastAsia="仿宋_GB2312" w:cs="仿宋_GB2312"/>
          <w:sz w:val="32"/>
          <w:szCs w:val="32"/>
        </w:rPr>
        <w:t>人，其中行政编制</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人、事业编制</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人；实有人员</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人，其中行政</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人、事业</w:t>
      </w: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rPr>
        <w:t>人。单位管理的离退休人员</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黑体" w:cs="Times New Roman"/>
          <w:color w:val="auto"/>
          <w:sz w:val="32"/>
          <w:szCs w:val="32"/>
          <w:lang w:val="en-US" w:eastAsia="zh-CN"/>
        </w:rPr>
      </w:pPr>
      <w:r>
        <w:drawing>
          <wp:anchor distT="0" distB="0" distL="114300" distR="114300" simplePos="0" relativeHeight="251658240" behindDoc="0" locked="0" layoutInCell="1" allowOverlap="1">
            <wp:simplePos x="0" y="0"/>
            <wp:positionH relativeFrom="column">
              <wp:posOffset>404495</wp:posOffset>
            </wp:positionH>
            <wp:positionV relativeFrom="paragraph">
              <wp:posOffset>15875</wp:posOffset>
            </wp:positionV>
            <wp:extent cx="4572000" cy="2743200"/>
            <wp:effectExtent l="4445" t="4445" r="14605" b="14605"/>
            <wp:wrapTopAndBottom/>
            <wp:docPr id="1"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Pr>
          <w:rFonts w:hint="default" w:ascii="Times New Roman" w:hAnsi="Times New Roman" w:eastAsia="黑体" w:cs="Times New Roman"/>
          <w:color w:val="auto"/>
          <w:sz w:val="32"/>
          <w:szCs w:val="32"/>
          <w:lang w:val="en-US" w:eastAsia="zh-CN"/>
        </w:rPr>
        <w:t>五、部门决算收支情况说明</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（一）201</w:t>
      </w:r>
      <w:r>
        <w:rPr>
          <w:rFonts w:hint="eastAsia" w:ascii="Times New Roman" w:hAnsi="Times New Roman" w:eastAsia="楷体" w:cs="Times New Roman"/>
          <w:color w:val="auto"/>
          <w:sz w:val="32"/>
          <w:szCs w:val="32"/>
          <w:lang w:val="en-US" w:eastAsia="zh-CN"/>
        </w:rPr>
        <w:t>8</w:t>
      </w:r>
      <w:r>
        <w:rPr>
          <w:rFonts w:hint="default" w:ascii="Times New Roman" w:hAnsi="Times New Roman" w:eastAsia="楷体" w:cs="Times New Roman"/>
          <w:color w:val="auto"/>
          <w:sz w:val="32"/>
          <w:szCs w:val="32"/>
        </w:rPr>
        <w:t>年度收入支出总体情况说明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1.本年度</w:t>
      </w:r>
      <w:r>
        <w:rPr>
          <w:rFonts w:hint="default" w:ascii="Times New Roman" w:hAnsi="Times New Roman" w:eastAsia="仿宋_GB2312" w:cs="Times New Roman"/>
          <w:color w:val="auto"/>
          <w:sz w:val="32"/>
          <w:szCs w:val="32"/>
        </w:rPr>
        <w:t>收入</w:t>
      </w:r>
      <w:r>
        <w:rPr>
          <w:rFonts w:hint="eastAsia" w:ascii="Times New Roman" w:hAnsi="Times New Roman" w:eastAsia="仿宋_GB2312" w:cs="Times New Roman"/>
          <w:color w:val="auto"/>
          <w:sz w:val="32"/>
          <w:szCs w:val="32"/>
          <w:lang w:val="en-US" w:eastAsia="zh-CN"/>
        </w:rPr>
        <w:t>合</w:t>
      </w:r>
      <w:r>
        <w:rPr>
          <w:rFonts w:hint="default" w:ascii="Times New Roman" w:hAnsi="Times New Roman" w:eastAsia="仿宋_GB2312" w:cs="Times New Roman"/>
          <w:color w:val="auto"/>
          <w:sz w:val="32"/>
          <w:szCs w:val="32"/>
        </w:rPr>
        <w:t>计</w:t>
      </w:r>
      <w:r>
        <w:rPr>
          <w:rFonts w:hint="eastAsia" w:ascii="Times New Roman" w:hAnsi="Times New Roman" w:eastAsia="仿宋_GB2312" w:cs="Times New Roman"/>
          <w:color w:val="auto"/>
          <w:sz w:val="32"/>
          <w:szCs w:val="32"/>
          <w:lang w:val="en-US" w:eastAsia="zh-CN"/>
        </w:rPr>
        <w:t>3102.35</w:t>
      </w:r>
      <w:r>
        <w:rPr>
          <w:rFonts w:hint="default" w:ascii="Times New Roman" w:hAnsi="Times New Roman" w:eastAsia="仿宋_GB2312" w:cs="Times New Roman"/>
          <w:color w:val="auto"/>
          <w:sz w:val="32"/>
          <w:szCs w:val="32"/>
        </w:rPr>
        <w:t>万元,较上年</w:t>
      </w:r>
      <w:r>
        <w:rPr>
          <w:rFonts w:hint="default" w:ascii="Times New Roman" w:hAnsi="Times New Roman" w:eastAsia="仿宋_GB2312" w:cs="Times New Roman"/>
          <w:color w:val="auto"/>
          <w:sz w:val="32"/>
          <w:szCs w:val="32"/>
          <w:lang w:val="en-US" w:eastAsia="zh-CN"/>
        </w:rPr>
        <w:t>增加</w:t>
      </w:r>
      <w:r>
        <w:rPr>
          <w:rFonts w:hint="eastAsia" w:ascii="Times New Roman" w:hAnsi="Times New Roman" w:eastAsia="仿宋_GB2312" w:cs="Times New Roman"/>
          <w:color w:val="auto"/>
          <w:sz w:val="32"/>
          <w:szCs w:val="32"/>
          <w:lang w:val="en-US" w:eastAsia="zh-CN"/>
        </w:rPr>
        <w:t>467.93</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val="en-US" w:eastAsia="zh-CN"/>
        </w:rPr>
        <w:t>增加</w:t>
      </w:r>
      <w:r>
        <w:rPr>
          <w:rFonts w:hint="default" w:ascii="Times New Roman" w:hAnsi="Times New Roman" w:eastAsia="仿宋_GB2312" w:cs="Times New Roman"/>
          <w:color w:val="auto"/>
          <w:sz w:val="32"/>
          <w:szCs w:val="32"/>
        </w:rPr>
        <w:t>的主要原因是</w:t>
      </w:r>
      <w:r>
        <w:rPr>
          <w:rFonts w:hint="default" w:ascii="Times New Roman" w:hAnsi="Times New Roman" w:eastAsia="仿宋_GB2312" w:cs="Times New Roman"/>
          <w:color w:val="auto"/>
          <w:sz w:val="32"/>
          <w:szCs w:val="32"/>
          <w:lang w:eastAsia="zh-CN"/>
        </w:rPr>
        <w:t>经费保障标准提高，保障经费增加。</w:t>
      </w:r>
      <w:r>
        <w:rPr>
          <w:rFonts w:hint="default" w:ascii="Times New Roman" w:hAnsi="Times New Roman" w:eastAsia="仿宋_GB2312" w:cs="Times New Roman"/>
          <w:color w:val="auto"/>
          <w:sz w:val="32"/>
          <w:szCs w:val="32"/>
        </w:rPr>
        <w:t>支出</w:t>
      </w:r>
      <w:r>
        <w:rPr>
          <w:rFonts w:hint="eastAsia" w:ascii="Times New Roman" w:hAnsi="Times New Roman" w:eastAsia="仿宋_GB2312" w:cs="Times New Roman"/>
          <w:color w:val="auto"/>
          <w:sz w:val="32"/>
          <w:szCs w:val="32"/>
          <w:lang w:val="en-US" w:eastAsia="zh-CN"/>
        </w:rPr>
        <w:t>合</w:t>
      </w:r>
      <w:r>
        <w:rPr>
          <w:rFonts w:hint="default" w:ascii="Times New Roman" w:hAnsi="Times New Roman" w:eastAsia="仿宋_GB2312" w:cs="Times New Roman"/>
          <w:color w:val="auto"/>
          <w:sz w:val="32"/>
          <w:szCs w:val="32"/>
        </w:rPr>
        <w:t>计</w:t>
      </w:r>
      <w:r>
        <w:rPr>
          <w:rFonts w:hint="eastAsia" w:ascii="Times New Roman" w:hAnsi="Times New Roman" w:eastAsia="仿宋_GB2312" w:cs="Times New Roman"/>
          <w:color w:val="auto"/>
          <w:sz w:val="32"/>
          <w:szCs w:val="32"/>
          <w:lang w:val="en-US" w:eastAsia="zh-CN"/>
        </w:rPr>
        <w:t>3102.9</w:t>
      </w:r>
      <w:r>
        <w:rPr>
          <w:rFonts w:hint="default" w:ascii="Times New Roman" w:hAnsi="Times New Roman" w:eastAsia="仿宋_GB2312" w:cs="Times New Roman"/>
          <w:color w:val="auto"/>
          <w:sz w:val="32"/>
          <w:szCs w:val="32"/>
        </w:rPr>
        <w:t>万元,较上年</w:t>
      </w:r>
      <w:r>
        <w:rPr>
          <w:rFonts w:hint="default" w:ascii="Times New Roman" w:hAnsi="Times New Roman" w:eastAsia="仿宋_GB2312" w:cs="Times New Roman"/>
          <w:color w:val="auto"/>
          <w:sz w:val="32"/>
          <w:szCs w:val="32"/>
          <w:lang w:val="en-US" w:eastAsia="zh-CN"/>
        </w:rPr>
        <w:t>增加</w:t>
      </w:r>
      <w:r>
        <w:rPr>
          <w:rFonts w:hint="eastAsia" w:ascii="Times New Roman" w:hAnsi="Times New Roman" w:eastAsia="仿宋_GB2312" w:cs="Times New Roman"/>
          <w:color w:val="auto"/>
          <w:sz w:val="32"/>
          <w:szCs w:val="32"/>
          <w:lang w:val="en-US" w:eastAsia="zh-CN"/>
        </w:rPr>
        <w:t>468.31</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val="en-US" w:eastAsia="zh-CN"/>
        </w:rPr>
        <w:t>增加</w:t>
      </w:r>
      <w:r>
        <w:rPr>
          <w:rFonts w:hint="default" w:ascii="Times New Roman" w:hAnsi="Times New Roman" w:eastAsia="仿宋_GB2312" w:cs="Times New Roman"/>
          <w:color w:val="auto"/>
          <w:sz w:val="32"/>
          <w:szCs w:val="32"/>
        </w:rPr>
        <w:t>的主要原因是</w:t>
      </w:r>
      <w:r>
        <w:rPr>
          <w:rFonts w:hint="default" w:ascii="Times New Roman" w:hAnsi="Times New Roman" w:eastAsia="仿宋_GB2312" w:cs="Times New Roman"/>
          <w:color w:val="auto"/>
          <w:sz w:val="32"/>
          <w:szCs w:val="32"/>
          <w:lang w:val="en-US" w:eastAsia="zh-CN"/>
        </w:rPr>
        <w:t>项目增加，征地与拆迁补偿支出增多。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（1）基本支出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890.55</w:t>
      </w:r>
      <w:r>
        <w:rPr>
          <w:rFonts w:hint="default" w:ascii="Times New Roman" w:hAnsi="Times New Roman" w:eastAsia="仿宋_GB2312" w:cs="Times New Roman"/>
          <w:color w:val="000000" w:themeColor="text1"/>
          <w:sz w:val="32"/>
          <w:szCs w:val="32"/>
          <w14:textFill>
            <w14:solidFill>
              <w14:schemeClr w14:val="tx1"/>
            </w14:solidFill>
          </w14:textFill>
        </w:rPr>
        <w:t>万元，主要是个人部分支出以及保障机制机构正常运转、完成日常工作任务而发生的各项支出。其中：</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人员经费</w:t>
      </w:r>
      <w:r>
        <w:rPr>
          <w:rFonts w:hint="default" w:ascii="Times New Roman" w:hAnsi="Times New Roman" w:eastAsia="仿宋_GB2312" w:cs="Times New Roman"/>
          <w:color w:val="000000" w:themeColor="text1"/>
          <w:sz w:val="32"/>
          <w:szCs w:val="32"/>
          <w14:textFill>
            <w14:solidFill>
              <w14:schemeClr w14:val="tx1"/>
            </w14:solidFill>
          </w14:textFill>
        </w:rPr>
        <w:t>支出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758.1</w:t>
      </w:r>
      <w:r>
        <w:rPr>
          <w:rFonts w:hint="default" w:ascii="Times New Roman" w:hAnsi="Times New Roman" w:eastAsia="仿宋_GB2312" w:cs="Times New Roman"/>
          <w:color w:val="000000" w:themeColor="text1"/>
          <w:sz w:val="32"/>
          <w:szCs w:val="32"/>
          <w14:textFill>
            <w14:solidFill>
              <w14:schemeClr w14:val="tx1"/>
            </w14:solidFill>
          </w14:textFill>
        </w:rPr>
        <w:t>万元，日常公用经费支出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132.45</w:t>
      </w:r>
      <w:r>
        <w:rPr>
          <w:rFonts w:hint="default" w:ascii="Times New Roman" w:hAnsi="Times New Roman" w:eastAsia="仿宋_GB2312" w:cs="Times New Roman"/>
          <w:color w:val="000000" w:themeColor="text1"/>
          <w:sz w:val="32"/>
          <w:szCs w:val="32"/>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（2）项目支出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2212.35</w:t>
      </w:r>
      <w:r>
        <w:rPr>
          <w:rFonts w:hint="default" w:ascii="Times New Roman" w:hAnsi="Times New Roman" w:eastAsia="仿宋_GB2312" w:cs="Times New Roman"/>
          <w:color w:val="000000" w:themeColor="text1"/>
          <w:sz w:val="32"/>
          <w:szCs w:val="32"/>
          <w14:textFill>
            <w14:solidFill>
              <w14:schemeClr w14:val="tx1"/>
            </w14:solidFill>
          </w14:textFill>
        </w:rPr>
        <w:t>万元，主要包括</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村级干</w:t>
      </w:r>
      <w:r>
        <w:rPr>
          <w:rFonts w:hint="default" w:ascii="Times New Roman" w:hAnsi="Times New Roman" w:eastAsia="仿宋_GB2312" w:cs="Times New Roman"/>
          <w:color w:val="000000" w:themeColor="text1"/>
          <w:sz w:val="32"/>
          <w:szCs w:val="32"/>
          <w14:textFill>
            <w14:solidFill>
              <w14:schemeClr w14:val="tx1"/>
            </w14:solidFill>
          </w14:textFill>
        </w:rPr>
        <w:t>部</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补贴及党建经费、换届选举经费176.7</w:t>
      </w:r>
      <w:r>
        <w:rPr>
          <w:rFonts w:hint="default" w:ascii="Times New Roman" w:hAnsi="Times New Roman" w:eastAsia="仿宋_GB2312" w:cs="Times New Roman"/>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柳村南大街改造资金355</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万元，美丽乡村建设资金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849.51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万元，</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太平镇农村主干道改造项目273.34</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万元，</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中小河流治理项目100万元，</w:t>
      </w:r>
      <w:r>
        <w:rPr>
          <w:rFonts w:hint="default" w:ascii="Times New Roman" w:hAnsi="Times New Roman" w:eastAsia="仿宋_GB2312" w:cs="Times New Roman"/>
          <w:color w:val="000000" w:themeColor="text1"/>
          <w:sz w:val="32"/>
          <w:szCs w:val="32"/>
          <w14:textFill>
            <w14:solidFill>
              <w14:schemeClr w14:val="tx1"/>
            </w14:solidFill>
          </w14:textFill>
        </w:rPr>
        <w:t>其它</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各项工作经费及项目资金</w:t>
      </w:r>
      <w:r>
        <w:rPr>
          <w:rFonts w:hint="default" w:ascii="Times New Roman" w:hAnsi="Times New Roman" w:eastAsia="仿宋_GB2312" w:cs="Times New Roman"/>
          <w:color w:val="000000" w:themeColor="text1"/>
          <w:sz w:val="32"/>
          <w:szCs w:val="32"/>
          <w14:textFill>
            <w14:solidFill>
              <w14:schemeClr w14:val="tx1"/>
            </w14:solidFill>
          </w14:textFill>
        </w:rPr>
        <w:t>项目</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457.8</w:t>
      </w:r>
      <w:r>
        <w:rPr>
          <w:rFonts w:hint="default" w:ascii="Times New Roman" w:hAnsi="Times New Roman" w:eastAsia="仿宋_GB2312" w:cs="Times New Roman"/>
          <w:color w:val="000000" w:themeColor="text1"/>
          <w:sz w:val="32"/>
          <w:szCs w:val="32"/>
          <w14:textFill>
            <w14:solidFill>
              <w14:schemeClr w14:val="tx1"/>
            </w14:solidFill>
          </w14:textFill>
        </w:rPr>
        <w:t>万元。</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2</w:t>
      </w:r>
      <w:r>
        <w:rPr>
          <w:rFonts w:hint="eastAsia" w:ascii="Times New Roman" w:hAnsi="Times New Roman" w:eastAsia="楷体" w:cs="Times New Roman"/>
          <w:color w:val="000000" w:themeColor="text1"/>
          <w:sz w:val="32"/>
          <w:szCs w:val="32"/>
          <w:lang w:eastAsia="zh-CN"/>
          <w14:textFill>
            <w14:solidFill>
              <w14:schemeClr w14:val="tx1"/>
            </w14:solidFill>
          </w14:textFill>
        </w:rPr>
        <w:t>.</w:t>
      </w:r>
      <w:r>
        <w:rPr>
          <w:rFonts w:hint="default" w:ascii="Times New Roman" w:hAnsi="Times New Roman" w:eastAsia="楷体" w:cs="Times New Roman"/>
          <w:color w:val="000000" w:themeColor="text1"/>
          <w:sz w:val="32"/>
          <w:szCs w:val="32"/>
          <w14:textFill>
            <w14:solidFill>
              <w14:schemeClr w14:val="tx1"/>
            </w14:solidFill>
          </w14:textFill>
        </w:rPr>
        <w:t>本年度收入构成情况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见附表</w:t>
      </w:r>
    </w:p>
    <w:p>
      <w:pPr>
        <w:keepNext w:val="0"/>
        <w:keepLines w:val="0"/>
        <w:pageBreakBefore w:val="0"/>
        <w:numPr>
          <w:ilvl w:val="0"/>
          <w:numId w:val="2"/>
        </w:numPr>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本年度支出构成情况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见附表</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（二）2017年度财政财政拨款收入支出总体情况说明</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楷体" w:cs="Times New Roman"/>
          <w:color w:val="auto"/>
          <w:sz w:val="32"/>
          <w:szCs w:val="32"/>
          <w:highlight w:val="none"/>
        </w:rPr>
      </w:pPr>
      <w:r>
        <w:rPr>
          <w:rFonts w:hint="default" w:ascii="Times New Roman" w:hAnsi="Times New Roman" w:eastAsia="楷体" w:cs="Times New Roman"/>
          <w:color w:val="auto"/>
          <w:sz w:val="32"/>
          <w:szCs w:val="32"/>
          <w:highlight w:val="none"/>
        </w:rPr>
        <w:t>1</w:t>
      </w:r>
      <w:r>
        <w:rPr>
          <w:rFonts w:hint="eastAsia" w:ascii="Times New Roman" w:hAnsi="Times New Roman" w:eastAsia="楷体" w:cs="Times New Roman"/>
          <w:color w:val="auto"/>
          <w:sz w:val="32"/>
          <w:szCs w:val="32"/>
          <w:highlight w:val="none"/>
          <w:lang w:eastAsia="zh-CN"/>
        </w:rPr>
        <w:t>.</w:t>
      </w:r>
      <w:r>
        <w:rPr>
          <w:rFonts w:hint="default" w:ascii="Times New Roman" w:hAnsi="Times New Roman" w:eastAsia="楷体" w:cs="Times New Roman"/>
          <w:color w:val="auto"/>
          <w:sz w:val="32"/>
          <w:szCs w:val="32"/>
          <w:highlight w:val="none"/>
        </w:rPr>
        <w:t>财政拨款收入支出总体情况及比上年增减情况。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highlight w:val="none"/>
        </w:rPr>
        <w:t>收入总计</w:t>
      </w:r>
      <w:r>
        <w:rPr>
          <w:rFonts w:hint="eastAsia" w:ascii="Times New Roman" w:hAnsi="Times New Roman" w:eastAsia="仿宋_GB2312" w:cs="Times New Roman"/>
          <w:color w:val="auto"/>
          <w:sz w:val="32"/>
          <w:szCs w:val="32"/>
          <w:highlight w:val="none"/>
          <w:lang w:val="en-US" w:eastAsia="zh-CN"/>
        </w:rPr>
        <w:t>3102.52</w:t>
      </w:r>
      <w:r>
        <w:rPr>
          <w:rFonts w:hint="default" w:ascii="Times New Roman" w:hAnsi="Times New Roman" w:eastAsia="仿宋_GB2312" w:cs="Times New Roman"/>
          <w:color w:val="auto"/>
          <w:sz w:val="32"/>
          <w:szCs w:val="32"/>
          <w:highlight w:val="none"/>
        </w:rPr>
        <w:t>万元,其中一般公共预算财政</w:t>
      </w:r>
      <w:r>
        <w:rPr>
          <w:rFonts w:hint="default" w:ascii="Times New Roman" w:hAnsi="Times New Roman" w:eastAsia="仿宋_GB2312" w:cs="Times New Roman"/>
          <w:color w:val="auto"/>
          <w:sz w:val="32"/>
          <w:szCs w:val="32"/>
        </w:rPr>
        <w:t>拨款</w:t>
      </w:r>
      <w:r>
        <w:rPr>
          <w:rFonts w:hint="eastAsia" w:ascii="Times New Roman" w:hAnsi="Times New Roman" w:eastAsia="仿宋_GB2312" w:cs="Times New Roman"/>
          <w:color w:val="auto"/>
          <w:sz w:val="32"/>
          <w:szCs w:val="32"/>
          <w:lang w:val="en-US" w:eastAsia="zh-CN"/>
        </w:rPr>
        <w:t>3102.52</w:t>
      </w:r>
      <w:r>
        <w:rPr>
          <w:rFonts w:hint="default"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lang w:val="en-US" w:eastAsia="zh-CN"/>
        </w:rPr>
        <w:t>政府性基金预算财政拨款0万元，</w:t>
      </w:r>
      <w:r>
        <w:rPr>
          <w:rFonts w:hint="default" w:ascii="Times New Roman" w:hAnsi="Times New Roman" w:eastAsia="仿宋_GB2312" w:cs="Times New Roman"/>
          <w:color w:val="auto"/>
          <w:sz w:val="32"/>
          <w:szCs w:val="32"/>
        </w:rPr>
        <w:t>较上年</w:t>
      </w:r>
      <w:r>
        <w:rPr>
          <w:rFonts w:hint="default" w:ascii="Times New Roman" w:hAnsi="Times New Roman" w:eastAsia="仿宋_GB2312" w:cs="Times New Roman"/>
          <w:color w:val="auto"/>
          <w:sz w:val="32"/>
          <w:szCs w:val="32"/>
          <w:lang w:val="en-US" w:eastAsia="zh-CN"/>
        </w:rPr>
        <w:t>增加</w:t>
      </w:r>
      <w:r>
        <w:rPr>
          <w:rFonts w:hint="eastAsia" w:ascii="Times New Roman" w:hAnsi="Times New Roman" w:eastAsia="仿宋_GB2312" w:cs="Times New Roman"/>
          <w:color w:val="auto"/>
          <w:sz w:val="32"/>
          <w:szCs w:val="32"/>
          <w:lang w:val="en-US" w:eastAsia="zh-CN"/>
        </w:rPr>
        <w:t>467.93</w:t>
      </w:r>
      <w:r>
        <w:rPr>
          <w:rFonts w:hint="default" w:ascii="Times New Roman" w:hAnsi="Times New Roman" w:eastAsia="仿宋_GB2312" w:cs="Times New Roman"/>
          <w:color w:val="auto"/>
          <w:sz w:val="32"/>
          <w:szCs w:val="32"/>
        </w:rPr>
        <w:t>万元。支出总计</w:t>
      </w:r>
      <w:r>
        <w:rPr>
          <w:rFonts w:hint="eastAsia" w:ascii="Times New Roman" w:hAnsi="Times New Roman" w:eastAsia="仿宋_GB2312" w:cs="Times New Roman"/>
          <w:color w:val="auto"/>
          <w:sz w:val="32"/>
          <w:szCs w:val="32"/>
          <w:lang w:val="en-US" w:eastAsia="zh-CN"/>
        </w:rPr>
        <w:t>3102.9</w:t>
      </w:r>
      <w:r>
        <w:rPr>
          <w:rFonts w:hint="default" w:ascii="Times New Roman" w:hAnsi="Times New Roman" w:eastAsia="仿宋_GB2312" w:cs="Times New Roman"/>
          <w:color w:val="auto"/>
          <w:sz w:val="32"/>
          <w:szCs w:val="32"/>
        </w:rPr>
        <w:t>万元，较上年</w:t>
      </w:r>
      <w:r>
        <w:rPr>
          <w:rFonts w:hint="default" w:ascii="Times New Roman" w:hAnsi="Times New Roman" w:eastAsia="仿宋_GB2312" w:cs="Times New Roman"/>
          <w:color w:val="auto"/>
          <w:sz w:val="32"/>
          <w:szCs w:val="32"/>
          <w:lang w:val="en-US" w:eastAsia="zh-CN"/>
        </w:rPr>
        <w:t>增加</w:t>
      </w:r>
      <w:r>
        <w:rPr>
          <w:rFonts w:hint="eastAsia" w:ascii="Times New Roman" w:hAnsi="Times New Roman" w:eastAsia="仿宋_GB2312" w:cs="Times New Roman"/>
          <w:color w:val="auto"/>
          <w:sz w:val="32"/>
          <w:szCs w:val="32"/>
          <w:lang w:val="en-US" w:eastAsia="zh-CN"/>
        </w:rPr>
        <w:t>468.31</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val="en-US" w:eastAsia="zh-CN"/>
        </w:rPr>
        <w:t>增加</w:t>
      </w:r>
      <w:r>
        <w:rPr>
          <w:rFonts w:hint="default" w:ascii="Times New Roman" w:hAnsi="Times New Roman" w:eastAsia="仿宋_GB2312" w:cs="Times New Roman"/>
          <w:color w:val="auto"/>
          <w:sz w:val="32"/>
          <w:szCs w:val="32"/>
        </w:rPr>
        <w:t>的主要原因是</w:t>
      </w:r>
      <w:r>
        <w:rPr>
          <w:rFonts w:hint="eastAsia" w:ascii="Times New Roman" w:hAnsi="Times New Roman" w:eastAsia="仿宋_GB2312" w:cs="Times New Roman"/>
          <w:color w:val="auto"/>
          <w:sz w:val="32"/>
          <w:szCs w:val="32"/>
          <w:lang w:val="en-US" w:eastAsia="zh-CN"/>
        </w:rPr>
        <w:t>人员增加，</w:t>
      </w:r>
      <w:r>
        <w:rPr>
          <w:rFonts w:hint="default" w:ascii="Times New Roman" w:hAnsi="Times New Roman" w:eastAsia="仿宋_GB2312" w:cs="Times New Roman"/>
          <w:color w:val="auto"/>
          <w:sz w:val="32"/>
          <w:szCs w:val="32"/>
          <w:lang w:eastAsia="zh-CN"/>
        </w:rPr>
        <w:t>保障经费增加，</w:t>
      </w:r>
      <w:r>
        <w:rPr>
          <w:rFonts w:hint="default" w:ascii="Times New Roman" w:hAnsi="Times New Roman" w:eastAsia="仿宋_GB2312" w:cs="Times New Roman"/>
          <w:color w:val="auto"/>
          <w:sz w:val="32"/>
          <w:szCs w:val="32"/>
          <w:lang w:val="en-US" w:eastAsia="zh-CN"/>
        </w:rPr>
        <w:t>项目增加</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一般公共预算财政拨款支出情况。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color w:val="auto"/>
          <w:sz w:val="32"/>
          <w:szCs w:val="32"/>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见附表</w:t>
      </w:r>
    </w:p>
    <w:p>
      <w:pPr>
        <w:keepNext w:val="0"/>
        <w:keepLines w:val="0"/>
        <w:pageBreakBefore w:val="0"/>
        <w:numPr>
          <w:ilvl w:val="0"/>
          <w:numId w:val="4"/>
        </w:numPr>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一般公共预算财政拨款基本支出决算情况。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见附表</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政府性基金财政拨款收支情况</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本</w:t>
      </w:r>
      <w:r>
        <w:rPr>
          <w:rFonts w:hint="eastAsia" w:ascii="Times New Roman" w:hAnsi="Times New Roman" w:eastAsia="仿宋_GB2312" w:cs="Times New Roman"/>
          <w:color w:val="auto"/>
          <w:sz w:val="32"/>
          <w:szCs w:val="32"/>
          <w:lang w:val="en-US" w:eastAsia="zh-CN"/>
        </w:rPr>
        <w:t>单位</w:t>
      </w:r>
      <w:r>
        <w:rPr>
          <w:rFonts w:hint="default" w:ascii="Times New Roman" w:hAnsi="Times New Roman" w:eastAsia="仿宋_GB2312" w:cs="Times New Roman"/>
          <w:color w:val="auto"/>
          <w:sz w:val="32"/>
          <w:szCs w:val="32"/>
        </w:rPr>
        <w:t>201</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年政府性基金收入</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万元，支出</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val="en-US" w:eastAsia="zh-CN"/>
        </w:rPr>
        <w:t>。</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国有资本经营财政拨款收支情况说明</w:t>
      </w:r>
    </w:p>
    <w:p>
      <w:pPr>
        <w:keepNext w:val="0"/>
        <w:keepLines w:val="0"/>
        <w:pageBreakBefore w:val="0"/>
        <w:kinsoku/>
        <w:wordWrap/>
        <w:overflowPunct/>
        <w:topLinePunct w:val="0"/>
        <w:autoSpaceDE/>
        <w:autoSpaceDN/>
        <w:bidi w:val="0"/>
        <w:adjustRightInd/>
        <w:spacing w:line="520" w:lineRule="exact"/>
        <w:ind w:firstLine="64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w:t>
      </w:r>
      <w:r>
        <w:rPr>
          <w:rFonts w:hint="eastAsia" w:ascii="Times New Roman" w:hAnsi="Times New Roman" w:eastAsia="仿宋_GB2312" w:cs="Times New Roman"/>
          <w:color w:val="auto"/>
          <w:sz w:val="32"/>
          <w:szCs w:val="32"/>
          <w:lang w:val="en-US" w:eastAsia="zh-CN"/>
        </w:rPr>
        <w:t>单位</w:t>
      </w:r>
      <w:r>
        <w:rPr>
          <w:rFonts w:hint="default" w:ascii="Times New Roman" w:hAnsi="Times New Roman" w:eastAsia="仿宋_GB2312" w:cs="Times New Roman"/>
          <w:color w:val="auto"/>
          <w:sz w:val="32"/>
          <w:szCs w:val="32"/>
          <w:lang w:val="en-US" w:eastAsia="zh-CN"/>
        </w:rPr>
        <w:t>无国有资本经营决算拨款收支</w:t>
      </w:r>
      <w:r>
        <w:rPr>
          <w:rFonts w:hint="eastAsia" w:ascii="Times New Roman" w:hAnsi="Times New Roman" w:eastAsia="仿宋_GB2312" w:cs="Times New Roman"/>
          <w:color w:val="auto"/>
          <w:sz w:val="32"/>
          <w:szCs w:val="32"/>
          <w:lang w:val="en-US" w:eastAsia="zh-CN"/>
        </w:rPr>
        <w:t>。</w:t>
      </w:r>
    </w:p>
    <w:p>
      <w:pPr>
        <w:keepNext w:val="0"/>
        <w:keepLines w:val="0"/>
        <w:pageBreakBefore w:val="0"/>
        <w:kinsoku/>
        <w:wordWrap/>
        <w:overflowPunct/>
        <w:topLinePunct w:val="0"/>
        <w:autoSpaceDE/>
        <w:autoSpaceDN/>
        <w:bidi w:val="0"/>
        <w:adjustRightInd/>
        <w:spacing w:line="520" w:lineRule="exact"/>
        <w:ind w:firstLine="640"/>
        <w:textAlignment w:val="auto"/>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（三）201</w:t>
      </w:r>
      <w:r>
        <w:rPr>
          <w:rFonts w:hint="eastAsia" w:ascii="Times New Roman" w:hAnsi="Times New Roman" w:eastAsia="楷体" w:cs="Times New Roman"/>
          <w:color w:val="auto"/>
          <w:sz w:val="32"/>
          <w:szCs w:val="32"/>
          <w:lang w:val="en-US" w:eastAsia="zh-CN"/>
        </w:rPr>
        <w:t>8</w:t>
      </w:r>
      <w:r>
        <w:rPr>
          <w:rFonts w:hint="default" w:ascii="Times New Roman" w:hAnsi="Times New Roman" w:eastAsia="楷体" w:cs="Times New Roman"/>
          <w:color w:val="auto"/>
          <w:sz w:val="32"/>
          <w:szCs w:val="32"/>
        </w:rPr>
        <w:t>年度“三公”经费</w:t>
      </w: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培训费及会议费</w:t>
      </w:r>
      <w:r>
        <w:rPr>
          <w:rFonts w:hint="default" w:ascii="Times New Roman" w:hAnsi="Times New Roman" w:eastAsia="楷体" w:cs="Times New Roman"/>
          <w:color w:val="auto"/>
          <w:sz w:val="32"/>
          <w:szCs w:val="32"/>
        </w:rPr>
        <w:t>支出情况说明。</w:t>
      </w:r>
    </w:p>
    <w:p>
      <w:pPr>
        <w:ind w:firstLine="720" w:firstLineChars="22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1.“三公”经费财政拨款支出总体情况说明。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因公出国（境）支出情况。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本单位2018年无</w:t>
      </w:r>
      <w:r>
        <w:rPr>
          <w:rFonts w:hint="default" w:ascii="Times New Roman" w:hAnsi="Times New Roman" w:eastAsia="仿宋_GB2312" w:cs="Times New Roman"/>
          <w:sz w:val="32"/>
          <w:szCs w:val="32"/>
        </w:rPr>
        <w:t>因公出国（境）支出</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公务用车购置及运行维护费用支出情况。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本单位2018年</w:t>
      </w:r>
      <w:r>
        <w:rPr>
          <w:rFonts w:hint="default" w:ascii="Times New Roman" w:hAnsi="Times New Roman" w:eastAsia="仿宋_GB2312" w:cs="Times New Roman"/>
          <w:sz w:val="32"/>
          <w:szCs w:val="32"/>
        </w:rPr>
        <w:t>公务用车运行维护费支出</w:t>
      </w:r>
      <w:r>
        <w:rPr>
          <w:rFonts w:hint="default" w:ascii="Times New Roman" w:hAnsi="Times New Roman" w:eastAsia="仿宋_GB2312" w:cs="Times New Roman"/>
          <w:sz w:val="32"/>
          <w:szCs w:val="32"/>
          <w:lang w:val="en-US" w:eastAsia="zh-CN"/>
        </w:rPr>
        <w:t>1.32</w:t>
      </w:r>
      <w:r>
        <w:rPr>
          <w:rFonts w:hint="default" w:ascii="Times New Roman" w:hAnsi="Times New Roman" w:eastAsia="仿宋_GB2312" w:cs="Times New Roman"/>
          <w:sz w:val="32"/>
          <w:szCs w:val="32"/>
        </w:rPr>
        <w:t>万元,比上年增</w:t>
      </w:r>
      <w:r>
        <w:rPr>
          <w:rFonts w:hint="default" w:ascii="Times New Roman" w:hAnsi="Times New Roman" w:eastAsia="仿宋_GB2312" w:cs="Times New Roman"/>
          <w:sz w:val="32"/>
          <w:szCs w:val="32"/>
          <w:lang w:val="en-US" w:eastAsia="zh-CN"/>
        </w:rPr>
        <w:t>加0.02万</w:t>
      </w:r>
      <w:r>
        <w:rPr>
          <w:rFonts w:hint="default" w:ascii="Times New Roman" w:hAnsi="Times New Roman" w:eastAsia="仿宋_GB2312" w:cs="Times New Roman"/>
          <w:sz w:val="32"/>
          <w:szCs w:val="32"/>
        </w:rPr>
        <w:t>，增减原因</w:t>
      </w:r>
      <w:r>
        <w:rPr>
          <w:rFonts w:hint="default" w:ascii="Times New Roman" w:hAnsi="Times New Roman" w:eastAsia="仿宋_GB2312" w:cs="Times New Roman"/>
          <w:sz w:val="32"/>
          <w:szCs w:val="32"/>
          <w:lang w:val="en-US" w:eastAsia="zh-CN"/>
        </w:rPr>
        <w:t>为公务活动增加</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公务接待费支出情况。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2018年公务接待</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批次，</w:t>
      </w:r>
      <w:r>
        <w:rPr>
          <w:rFonts w:hint="default" w:ascii="Times New Roman" w:hAnsi="Times New Roman" w:eastAsia="仿宋_GB2312" w:cs="Times New Roman"/>
          <w:sz w:val="32"/>
          <w:szCs w:val="32"/>
          <w:lang w:val="en-US" w:eastAsia="zh-CN"/>
        </w:rPr>
        <w:t>350</w:t>
      </w:r>
      <w:r>
        <w:rPr>
          <w:rFonts w:hint="default" w:ascii="Times New Roman" w:hAnsi="Times New Roman" w:eastAsia="仿宋_GB2312" w:cs="Times New Roman"/>
          <w:sz w:val="32"/>
          <w:szCs w:val="32"/>
        </w:rPr>
        <w:t>人次，支出</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万元，比上年减</w:t>
      </w:r>
      <w:r>
        <w:rPr>
          <w:rFonts w:hint="default" w:ascii="Times New Roman" w:hAnsi="Times New Roman" w:eastAsia="仿宋_GB2312" w:cs="Times New Roman"/>
          <w:sz w:val="32"/>
          <w:szCs w:val="32"/>
          <w:lang w:val="en-US" w:eastAsia="zh-CN"/>
        </w:rPr>
        <w:t>少1万元</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减少原因为大型活动减少，接待次数减少</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培训费支出情况。</w:t>
      </w:r>
    </w:p>
    <w:p>
      <w:pPr>
        <w:numPr>
          <w:ilvl w:val="0"/>
          <w:numId w:val="0"/>
        </w:num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本单位2018年无培训费支出。</w:t>
      </w:r>
    </w:p>
    <w:p>
      <w:pPr>
        <w:numPr>
          <w:ilvl w:val="0"/>
          <w:numId w:val="0"/>
        </w:numPr>
        <w:ind w:left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会议费支出情况。</w:t>
      </w:r>
    </w:p>
    <w:p>
      <w:pPr>
        <w:numPr>
          <w:ilvl w:val="0"/>
          <w:numId w:val="0"/>
        </w:num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2018年会议费支出3万元。</w:t>
      </w:r>
    </w:p>
    <w:p>
      <w:pPr>
        <w:ind w:firstLine="640"/>
        <w:rPr>
          <w:rFonts w:ascii="黑体" w:hAnsi="黑体" w:eastAsia="黑体"/>
          <w:b w:val="0"/>
          <w:bCs w:val="0"/>
          <w:szCs w:val="32"/>
        </w:rPr>
      </w:pPr>
      <w:r>
        <w:rPr>
          <w:rFonts w:hint="eastAsia" w:ascii="黑体" w:hAnsi="黑体" w:eastAsia="黑体"/>
          <w:b w:val="0"/>
          <w:bCs w:val="0"/>
          <w:szCs w:val="32"/>
        </w:rPr>
        <w:t>六、2018年度部门绩效管理情况说明</w:t>
      </w:r>
    </w:p>
    <w:p>
      <w:pPr>
        <w:ind w:firstLine="640" w:firstLineChars="200"/>
        <w:rPr>
          <w:rFonts w:hint="default" w:ascii="楷体" w:hAnsi="楷体" w:eastAsia="楷体" w:cs="楷体"/>
          <w:szCs w:val="32"/>
          <w:lang w:val="en-US" w:eastAsia="zh-CN"/>
        </w:rPr>
      </w:pPr>
      <w:r>
        <w:rPr>
          <w:rFonts w:hint="eastAsia" w:ascii="楷体" w:hAnsi="楷体" w:eastAsia="楷体" w:cs="楷体"/>
          <w:szCs w:val="32"/>
          <w:lang w:val="en-US" w:eastAsia="zh-CN"/>
        </w:rPr>
        <w:t>本单位2018年预算批复时无自评项目。</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bookmarkStart w:id="0" w:name="_MON_1630234820"/>
      <w:bookmarkEnd w:id="0"/>
      <w:r>
        <w:rPr>
          <w:rFonts w:hint="default" w:ascii="Times New Roman" w:hAnsi="Times New Roman" w:eastAsia="黑体" w:cs="Times New Roman"/>
          <w:color w:val="000000" w:themeColor="text1"/>
          <w:sz w:val="32"/>
          <w:szCs w:val="32"/>
          <w14:textFill>
            <w14:solidFill>
              <w14:schemeClr w14:val="tx1"/>
            </w14:solidFill>
          </w14:textFill>
        </w:rPr>
        <w:t>七、其它重要事项的情况说明</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（一）201</w:t>
      </w:r>
      <w:r>
        <w:rPr>
          <w:rFonts w:hint="eastAsia" w:ascii="Times New Roman" w:hAnsi="Times New Roman" w:eastAsia="楷体" w:cs="Times New Roman"/>
          <w:color w:val="000000" w:themeColor="text1"/>
          <w:sz w:val="32"/>
          <w:szCs w:val="32"/>
          <w:lang w:val="en-US" w:eastAsia="zh-CN"/>
          <w14:textFill>
            <w14:solidFill>
              <w14:schemeClr w14:val="tx1"/>
            </w14:solidFill>
          </w14:textFill>
        </w:rPr>
        <w:t>8</w:t>
      </w:r>
      <w:r>
        <w:rPr>
          <w:rFonts w:hint="default" w:ascii="Times New Roman" w:hAnsi="Times New Roman" w:eastAsia="楷体" w:cs="Times New Roman"/>
          <w:color w:val="000000" w:themeColor="text1"/>
          <w:sz w:val="32"/>
          <w:szCs w:val="32"/>
          <w14:textFill>
            <w14:solidFill>
              <w14:schemeClr w14:val="tx1"/>
            </w14:solidFill>
          </w14:textFill>
        </w:rPr>
        <w:t>年机关运行经费支出情况</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14:textFill>
            <w14:solidFill>
              <w14:schemeClr w14:val="tx1"/>
            </w14:solidFill>
          </w14:textFill>
        </w:rPr>
        <w:t>年度机关运行经费支出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132.45</w:t>
      </w:r>
      <w:r>
        <w:rPr>
          <w:rFonts w:hint="default" w:ascii="Times New Roman" w:hAnsi="Times New Roman" w:eastAsia="仿宋_GB2312" w:cs="Times New Roman"/>
          <w:color w:val="000000" w:themeColor="text1"/>
          <w:sz w:val="32"/>
          <w:szCs w:val="32"/>
          <w14:textFill>
            <w14:solidFill>
              <w14:schemeClr w14:val="tx1"/>
            </w14:solidFill>
          </w14:textFill>
        </w:rPr>
        <w:t>万元，较上年增加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57.88</w:t>
      </w:r>
      <w:r>
        <w:rPr>
          <w:rFonts w:hint="default" w:ascii="Times New Roman" w:hAnsi="Times New Roman" w:eastAsia="仿宋_GB2312" w:cs="Times New Roman"/>
          <w:color w:val="000000" w:themeColor="text1"/>
          <w:sz w:val="32"/>
          <w:szCs w:val="32"/>
          <w14:textFill>
            <w14:solidFill>
              <w14:schemeClr w14:val="tx1"/>
            </w14:solidFill>
          </w14:textFill>
        </w:rPr>
        <w:t>万元，增长</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77.62</w:t>
      </w:r>
      <w:r>
        <w:rPr>
          <w:rFonts w:hint="default" w:ascii="Times New Roman" w:hAnsi="Times New Roman" w:eastAsia="仿宋_GB2312" w:cs="Times New Roman"/>
          <w:color w:val="000000" w:themeColor="text1"/>
          <w:sz w:val="32"/>
          <w:szCs w:val="32"/>
          <w14:textFill>
            <w14:solidFill>
              <w14:schemeClr w14:val="tx1"/>
            </w14:solidFill>
          </w14:textFill>
        </w:rPr>
        <w:t>％。主要原因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移交新城后，经费保障标准较原县区提高，保障经费增加。</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w:t>
      </w:r>
      <w:r>
        <w:rPr>
          <w:rFonts w:hint="eastAsia" w:ascii="Times New Roman" w:hAnsi="Times New Roman" w:eastAsia="楷体" w:cs="Times New Roman"/>
          <w:color w:val="000000" w:themeColor="text1"/>
          <w:sz w:val="32"/>
          <w:szCs w:val="32"/>
          <w:lang w:val="en-US" w:eastAsia="zh-CN"/>
          <w14:textFill>
            <w14:solidFill>
              <w14:schemeClr w14:val="tx1"/>
            </w14:solidFill>
          </w14:textFill>
        </w:rPr>
        <w:t>二</w:t>
      </w:r>
      <w:r>
        <w:rPr>
          <w:rFonts w:hint="default" w:ascii="Times New Roman" w:hAnsi="Times New Roman" w:eastAsia="楷体" w:cs="Times New Roman"/>
          <w:color w:val="000000" w:themeColor="text1"/>
          <w:sz w:val="32"/>
          <w:szCs w:val="32"/>
          <w14:textFill>
            <w14:solidFill>
              <w14:schemeClr w14:val="tx1"/>
            </w14:solidFill>
          </w14:textFill>
        </w:rPr>
        <w:t>）国有资产占用及购置情况说明</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截止201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14:textFill>
            <w14:solidFill>
              <w14:schemeClr w14:val="tx1"/>
            </w14:solidFill>
          </w14:textFill>
        </w:rPr>
        <w:t>年末，本部门国有资产总额</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310.58</w:t>
      </w:r>
      <w:r>
        <w:rPr>
          <w:rFonts w:hint="default" w:ascii="Times New Roman" w:hAnsi="Times New Roman" w:eastAsia="仿宋_GB2312" w:cs="Times New Roman"/>
          <w:color w:val="000000" w:themeColor="text1"/>
          <w:sz w:val="32"/>
          <w:szCs w:val="32"/>
          <w14:textFill>
            <w14:solidFill>
              <w14:schemeClr w14:val="tx1"/>
            </w14:solidFill>
          </w14:textFill>
        </w:rPr>
        <w:t>万元。其中房屋1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53.79</w:t>
      </w:r>
      <w:r>
        <w:rPr>
          <w:rFonts w:hint="default" w:ascii="Times New Roman" w:hAnsi="Times New Roman" w:eastAsia="仿宋_GB2312" w:cs="Times New Roman"/>
          <w:color w:val="000000" w:themeColor="text1"/>
          <w:sz w:val="32"/>
          <w:szCs w:val="32"/>
          <w14:textFill>
            <w14:solidFill>
              <w14:schemeClr w14:val="tx1"/>
            </w14:solidFill>
          </w14:textFill>
        </w:rPr>
        <w:t>万元，车辆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0.5</w:t>
      </w:r>
      <w:r>
        <w:rPr>
          <w:rFonts w:hint="default" w:ascii="Times New Roman" w:hAnsi="Times New Roman" w:eastAsia="仿宋_GB2312" w:cs="Times New Roman"/>
          <w:color w:val="000000" w:themeColor="text1"/>
          <w:sz w:val="32"/>
          <w:szCs w:val="32"/>
          <w14:textFill>
            <w14:solidFill>
              <w14:schemeClr w14:val="tx1"/>
            </w14:solidFill>
          </w14:textFill>
        </w:rPr>
        <w:t>万元，其他固定资产</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156.29</w:t>
      </w:r>
      <w:r>
        <w:rPr>
          <w:rFonts w:hint="default" w:ascii="Times New Roman" w:hAnsi="Times New Roman" w:eastAsia="仿宋_GB2312" w:cs="Times New Roman"/>
          <w:color w:val="000000" w:themeColor="text1"/>
          <w:sz w:val="32"/>
          <w:szCs w:val="32"/>
          <w14:textFill>
            <w14:solidFill>
              <w14:schemeClr w14:val="tx1"/>
            </w14:solidFill>
          </w14:textFill>
        </w:rPr>
        <w:t>万元。与上年度相比，本部门其它固定资产增加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23.94</w:t>
      </w:r>
      <w:r>
        <w:rPr>
          <w:rFonts w:hint="default" w:ascii="Times New Roman" w:hAnsi="Times New Roman" w:eastAsia="仿宋_GB2312" w:cs="Times New Roman"/>
          <w:color w:val="000000" w:themeColor="text1"/>
          <w:sz w:val="32"/>
          <w:szCs w:val="32"/>
          <w14:textFill>
            <w14:solidFill>
              <w14:schemeClr w14:val="tx1"/>
            </w14:solidFill>
          </w14:textFill>
        </w:rPr>
        <w:t>万元，增加的主要为办公设备（办公电脑、打印机）与通用设备空调类，其它资产未增加。</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八、专业名词解释</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1、基本支出：指为保障机构正常运转、完成日常工作任务而发生的各项支出。</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2、项目支出：指单位为完成特定的行政工作任务或事业发展目标所发生的各项支出。</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机关运行经费：为保障行政单位（包括参照公务员法管理的事业单位）运行用于购买货物和服务的各项公用经费，包括办公及印刷费、邮电费、差旅费、会议费、福利费、日常维修费、专用材料及办公用房水电费、办公用房取暖费、办公用房物业管理费、公务用车运行维护费以及其他费用。</w:t>
      </w:r>
    </w:p>
    <w:p>
      <w:pPr>
        <w:rPr>
          <w:rFonts w:hint="eastAsia" w:ascii="仿宋_GB2312" w:hAnsi="仿宋_GB2312" w:eastAsia="仿宋_GB2312" w:cs="仿宋_GB2312"/>
          <w:szCs w:val="32"/>
          <w:lang w:eastAsia="zh-CN"/>
        </w:rPr>
      </w:pPr>
    </w:p>
    <w:p>
      <w:pPr>
        <w:rPr>
          <w:rFonts w:hint="eastAsia" w:ascii="仿宋_GB2312" w:hAnsi="仿宋_GB2312" w:eastAsia="仿宋_GB2312" w:cs="仿宋_GB2312"/>
          <w:szCs w:val="32"/>
          <w:lang w:eastAsia="zh-CN"/>
        </w:rPr>
      </w:pPr>
    </w:p>
    <w:p>
      <w:pPr>
        <w:ind w:firstLine="3840" w:firstLineChars="1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eastAsia="zh-CN"/>
        </w:rPr>
        <w:t>泾阳县太平镇人民政府</w:t>
      </w:r>
    </w:p>
    <w:p>
      <w:pPr>
        <w:ind w:firstLine="4160" w:firstLineChars="1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2019年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月20日</w:t>
      </w:r>
      <w:bookmarkStart w:id="1" w:name="_GoBack"/>
      <w:bookmarkEnd w:id="1"/>
    </w:p>
    <w:sectPr>
      <w:pgSz w:w="11906" w:h="16838"/>
      <w:pgMar w:top="283" w:right="1800" w:bottom="283"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A089EA"/>
    <w:multiLevelType w:val="singleLevel"/>
    <w:tmpl w:val="EBA089EA"/>
    <w:lvl w:ilvl="0" w:tentative="0">
      <w:start w:val="3"/>
      <w:numFmt w:val="decimal"/>
      <w:suff w:val="nothing"/>
      <w:lvlText w:val="%1、"/>
      <w:lvlJc w:val="left"/>
    </w:lvl>
  </w:abstractNum>
  <w:abstractNum w:abstractNumId="1">
    <w:nsid w:val="FF7CBCCC"/>
    <w:multiLevelType w:val="singleLevel"/>
    <w:tmpl w:val="FF7CBCCC"/>
    <w:lvl w:ilvl="0" w:tentative="0">
      <w:start w:val="2"/>
      <w:numFmt w:val="decimal"/>
      <w:lvlText w:val="%1."/>
      <w:lvlJc w:val="left"/>
      <w:pPr>
        <w:tabs>
          <w:tab w:val="left" w:pos="312"/>
        </w:tabs>
      </w:pPr>
    </w:lvl>
  </w:abstractNum>
  <w:abstractNum w:abstractNumId="2">
    <w:nsid w:val="12A1241B"/>
    <w:multiLevelType w:val="singleLevel"/>
    <w:tmpl w:val="12A1241B"/>
    <w:lvl w:ilvl="0" w:tentative="0">
      <w:start w:val="1"/>
      <w:numFmt w:val="chineseCounting"/>
      <w:suff w:val="space"/>
      <w:lvlText w:val="%1、"/>
      <w:lvlJc w:val="left"/>
      <w:pPr>
        <w:ind w:left="640" w:leftChars="0" w:firstLine="0" w:firstLineChars="0"/>
      </w:pPr>
      <w:rPr>
        <w:rFonts w:hint="eastAsia"/>
      </w:rPr>
    </w:lvl>
  </w:abstractNum>
  <w:abstractNum w:abstractNumId="3">
    <w:nsid w:val="2B774F1F"/>
    <w:multiLevelType w:val="singleLevel"/>
    <w:tmpl w:val="2B774F1F"/>
    <w:lvl w:ilvl="0" w:tentative="0">
      <w:start w:val="3"/>
      <w:numFmt w:val="decimal"/>
      <w:lvlText w:val="%1."/>
      <w:lvlJc w:val="left"/>
      <w:pPr>
        <w:tabs>
          <w:tab w:val="left" w:pos="312"/>
        </w:tabs>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92444"/>
    <w:rsid w:val="005A6018"/>
    <w:rsid w:val="0096418A"/>
    <w:rsid w:val="00A46B83"/>
    <w:rsid w:val="00AF4CBD"/>
    <w:rsid w:val="00E8186E"/>
    <w:rsid w:val="00F47BEA"/>
    <w:rsid w:val="018E20BD"/>
    <w:rsid w:val="02B60B15"/>
    <w:rsid w:val="03EB59B3"/>
    <w:rsid w:val="08091188"/>
    <w:rsid w:val="092B4994"/>
    <w:rsid w:val="095F5F03"/>
    <w:rsid w:val="0A49501D"/>
    <w:rsid w:val="0ABB2133"/>
    <w:rsid w:val="0ACC5265"/>
    <w:rsid w:val="0AFA49C2"/>
    <w:rsid w:val="0B556806"/>
    <w:rsid w:val="0C5E25D5"/>
    <w:rsid w:val="0E0B1E8D"/>
    <w:rsid w:val="0E596D80"/>
    <w:rsid w:val="0EE74CF3"/>
    <w:rsid w:val="10E3449E"/>
    <w:rsid w:val="13C1041A"/>
    <w:rsid w:val="13DD5026"/>
    <w:rsid w:val="13DD545E"/>
    <w:rsid w:val="18163111"/>
    <w:rsid w:val="18717E72"/>
    <w:rsid w:val="1BB302DD"/>
    <w:rsid w:val="1C7210BE"/>
    <w:rsid w:val="1E1B4B61"/>
    <w:rsid w:val="22001771"/>
    <w:rsid w:val="22EE1EAB"/>
    <w:rsid w:val="269540B3"/>
    <w:rsid w:val="28735948"/>
    <w:rsid w:val="28F4579E"/>
    <w:rsid w:val="2A624316"/>
    <w:rsid w:val="2B864346"/>
    <w:rsid w:val="2E30422C"/>
    <w:rsid w:val="2ECA04B7"/>
    <w:rsid w:val="329B0193"/>
    <w:rsid w:val="32F16150"/>
    <w:rsid w:val="32F44A09"/>
    <w:rsid w:val="35FB794F"/>
    <w:rsid w:val="37BA04B7"/>
    <w:rsid w:val="3E3D7A8B"/>
    <w:rsid w:val="403E1C0C"/>
    <w:rsid w:val="40C5481E"/>
    <w:rsid w:val="41606A0F"/>
    <w:rsid w:val="421E2CF2"/>
    <w:rsid w:val="45197446"/>
    <w:rsid w:val="47166C1A"/>
    <w:rsid w:val="48F71C87"/>
    <w:rsid w:val="49CA551D"/>
    <w:rsid w:val="4B0517E8"/>
    <w:rsid w:val="4BEF7EB1"/>
    <w:rsid w:val="4E131608"/>
    <w:rsid w:val="4E4D6057"/>
    <w:rsid w:val="4E8A5EEE"/>
    <w:rsid w:val="512464F8"/>
    <w:rsid w:val="522A5B48"/>
    <w:rsid w:val="532B4997"/>
    <w:rsid w:val="55C900B6"/>
    <w:rsid w:val="563C5F2A"/>
    <w:rsid w:val="57410825"/>
    <w:rsid w:val="580C00DA"/>
    <w:rsid w:val="595D3863"/>
    <w:rsid w:val="5C551539"/>
    <w:rsid w:val="5CB74A9E"/>
    <w:rsid w:val="5E097DAC"/>
    <w:rsid w:val="5E492444"/>
    <w:rsid w:val="5E677FF0"/>
    <w:rsid w:val="5F3C618F"/>
    <w:rsid w:val="5FE72DB0"/>
    <w:rsid w:val="63384235"/>
    <w:rsid w:val="68436A53"/>
    <w:rsid w:val="68E4588C"/>
    <w:rsid w:val="6A5443E3"/>
    <w:rsid w:val="6A747F7E"/>
    <w:rsid w:val="6CF20192"/>
    <w:rsid w:val="6E0A72E7"/>
    <w:rsid w:val="6F44375E"/>
    <w:rsid w:val="710C2D14"/>
    <w:rsid w:val="7CCE4EF4"/>
    <w:rsid w:val="7DE56D3A"/>
    <w:rsid w:val="7E000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批注框文本 Char"/>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t>太平镇人民政府人员情况表</a:t>
            </a:r>
          </a:p>
        </c:rich>
      </c:tx>
      <c:layout>
        <c:manualLayout>
          <c:xMode val="edge"/>
          <c:yMode val="edge"/>
          <c:x val="0.290555555555556"/>
          <c:y val="0.00694444444444444"/>
        </c:manualLayout>
      </c:layout>
      <c:overlay val="0"/>
      <c:spPr>
        <a:noFill/>
        <a:ln>
          <a:noFill/>
        </a:ln>
        <a:effectLst/>
      </c:spPr>
    </c:title>
    <c:autoTitleDeleted val="0"/>
    <c:plotArea>
      <c:layout/>
      <c:barChart>
        <c:barDir val="col"/>
        <c:grouping val="clustered"/>
        <c:varyColors val="0"/>
        <c:ser>
          <c:idx val="0"/>
          <c:order val="0"/>
          <c:tx>
            <c:strRef>
              <c:f>'[新建 XLS 工作表.xls]Sheet1'!$A$2</c:f>
              <c:strCache>
                <c:ptCount val="1"/>
                <c:pt idx="0">
                  <c:v>行政</c:v>
                </c:pt>
              </c:strCache>
            </c:strRef>
          </c:tx>
          <c:spPr>
            <a:solidFill>
              <a:srgbClr val="4F81BD"/>
            </a:solidFill>
            <a:ln>
              <a:noFill/>
            </a:ln>
            <a:effectLst/>
          </c:spPr>
          <c:invertIfNegative val="0"/>
          <c:dLbls>
            <c:delete val="1"/>
          </c:dLbls>
          <c:cat>
            <c:strRef>
              <c:f>'[新建 XLS 工作表.xls]Sheet1'!$B$1:$D$1</c:f>
              <c:strCache>
                <c:ptCount val="3"/>
                <c:pt idx="0">
                  <c:v>编制数</c:v>
                </c:pt>
                <c:pt idx="1">
                  <c:v>在职</c:v>
                </c:pt>
                <c:pt idx="2">
                  <c:v>单位管理的离退休人员</c:v>
                </c:pt>
              </c:strCache>
            </c:strRef>
          </c:cat>
          <c:val>
            <c:numRef>
              <c:f>'[新建 XLS 工作表.xls]Sheet1'!$B$2:$D$2</c:f>
              <c:numCache>
                <c:formatCode>General</c:formatCode>
                <c:ptCount val="3"/>
                <c:pt idx="0">
                  <c:v>34</c:v>
                </c:pt>
                <c:pt idx="1">
                  <c:v>34</c:v>
                </c:pt>
                <c:pt idx="2">
                  <c:v>0</c:v>
                </c:pt>
              </c:numCache>
            </c:numRef>
          </c:val>
        </c:ser>
        <c:ser>
          <c:idx val="1"/>
          <c:order val="1"/>
          <c:tx>
            <c:strRef>
              <c:f>'[新建 XLS 工作表.xls]Sheet1'!$A$3</c:f>
              <c:strCache>
                <c:ptCount val="1"/>
                <c:pt idx="0">
                  <c:v>事业</c:v>
                </c:pt>
              </c:strCache>
            </c:strRef>
          </c:tx>
          <c:spPr>
            <a:solidFill>
              <a:srgbClr val="C0504D"/>
            </a:solidFill>
            <a:ln>
              <a:noFill/>
            </a:ln>
            <a:effectLst/>
          </c:spPr>
          <c:invertIfNegative val="0"/>
          <c:dLbls>
            <c:delete val="1"/>
          </c:dLbls>
          <c:cat>
            <c:strRef>
              <c:f>'[新建 XLS 工作表.xls]Sheet1'!$B$1:$D$1</c:f>
              <c:strCache>
                <c:ptCount val="3"/>
                <c:pt idx="0">
                  <c:v>编制数</c:v>
                </c:pt>
                <c:pt idx="1">
                  <c:v>在职</c:v>
                </c:pt>
                <c:pt idx="2">
                  <c:v>单位管理的离退休人员</c:v>
                </c:pt>
              </c:strCache>
            </c:strRef>
          </c:cat>
          <c:val>
            <c:numRef>
              <c:f>'[新建 XLS 工作表.xls]Sheet1'!$B$3:$D$3</c:f>
              <c:numCache>
                <c:formatCode>General</c:formatCode>
                <c:ptCount val="3"/>
                <c:pt idx="0">
                  <c:v>45</c:v>
                </c:pt>
                <c:pt idx="1">
                  <c:v>41</c:v>
                </c:pt>
                <c:pt idx="2">
                  <c:v>0</c:v>
                </c:pt>
              </c:numCache>
            </c:numRef>
          </c:val>
        </c:ser>
        <c:dLbls>
          <c:showLegendKey val="0"/>
          <c:showVal val="0"/>
          <c:showCatName val="0"/>
          <c:showSerName val="0"/>
          <c:showPercent val="0"/>
          <c:showBubbleSize val="0"/>
        </c:dLbls>
        <c:gapWidth val="219"/>
        <c:overlap val="-27"/>
        <c:axId val="799987183"/>
        <c:axId val="834145972"/>
      </c:barChart>
      <c:catAx>
        <c:axId val="799987183"/>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834145972"/>
        <c:crosses val="autoZero"/>
        <c:auto val="1"/>
        <c:lblAlgn val="ctr"/>
        <c:lblOffset val="100"/>
        <c:noMultiLvlLbl val="0"/>
      </c:catAx>
      <c:valAx>
        <c:axId val="834145972"/>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9998718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323</Words>
  <Characters>1842</Characters>
  <Lines>15</Lines>
  <Paragraphs>4</Paragraphs>
  <TotalTime>1</TotalTime>
  <ScaleCrop>false</ScaleCrop>
  <LinksUpToDate>false</LinksUpToDate>
  <CharactersWithSpaces>2161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2018-01-17T10:25:00Z</dcterms:created>
  <dc:creator>郭超(拟稿)</dc:creator>
  <cp:lastModifiedBy>Bluer</cp:lastModifiedBy>
  <cp:lastPrinted>2019-09-17T06:27:00Z</cp:lastPrinted>
  <dcterms:modified xsi:type="dcterms:W3CDTF">2019-11-20T07:48:58Z</dcterms:modified>
  <dc:title>附件1</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