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_GB2312" w:cs="Times New Roman"/>
          <w:sz w:val="28"/>
          <w:szCs w:val="28"/>
        </w:rPr>
      </w:pPr>
    </w:p>
    <w:p>
      <w:pPr>
        <w:spacing w:line="560" w:lineRule="exact"/>
        <w:ind w:left="2615" w:hanging="2640" w:hangingChars="60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空港新城北杜街道办事处</w:t>
      </w:r>
    </w:p>
    <w:p>
      <w:pPr>
        <w:snapToGrid w:val="0"/>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2018年度部门决算说明</w:t>
      </w:r>
    </w:p>
    <w:p>
      <w:pPr>
        <w:snapToGrid w:val="0"/>
        <w:spacing w:line="560" w:lineRule="exact"/>
        <w:jc w:val="center"/>
        <w:rPr>
          <w:rFonts w:hint="default" w:ascii="Times New Roman" w:hAnsi="Times New Roman" w:eastAsia="方正小标宋简体" w:cs="Times New Roman"/>
          <w:bCs/>
          <w:sz w:val="44"/>
          <w:szCs w:val="44"/>
        </w:rPr>
      </w:pPr>
    </w:p>
    <w:p>
      <w:pPr>
        <w:spacing w:line="56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一、部门主要职责</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1.贯彻执行党和国家的方针、政策、法律和法规，调查研究并制定适合办事处实际的政策措施。</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2.组织制定全办经济发展的中长期规划，搞好经济发展的总体布局和产业布局，制订并组织实施全办农村现代化建设的规划和措施。</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3.改善投资环境，做好招商引资工作，积极引导发展民营和外商投资企业。</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4.完善统分结合的双层经营体制，巩固发展壮大村级集体经济，加强农村社会化服务体系建设，指导、协调农业生产和效益农业发展。</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5.抓好全办建设用地的规划管理工作。</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6.负责全办计划生育、九年义务教育、卫生工作计划的分解落实。</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7.编制办事处财政计划，做好经费的划拨和核算工作，并指导、协调、监督农村合作经济组织的财务、会计、审计工作。</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8.认真贯彻社会治安治理方针政策，组织、协调指导维护本辖区社会稳定工作。</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9.负责做好征兵工作及现役军人家属优抚、退伍军人的安置、社会救灾救济、养老保险和推行殡葬改革工作。</w:t>
      </w:r>
    </w:p>
    <w:p>
      <w:pPr>
        <w:ind w:firstLine="640"/>
        <w:rPr>
          <w:rFonts w:hint="default" w:ascii="Times New Roman" w:hAnsi="Times New Roman" w:eastAsia="黑体" w:cs="Times New Roman"/>
          <w:b/>
          <w:bCs/>
          <w:szCs w:val="32"/>
        </w:rPr>
      </w:pPr>
      <w:r>
        <w:rPr>
          <w:rFonts w:hint="default" w:ascii="Times New Roman" w:hAnsi="Times New Roman" w:eastAsia="黑体" w:cs="Times New Roman"/>
          <w:b/>
          <w:bCs/>
          <w:szCs w:val="32"/>
        </w:rPr>
        <w:t>二、2018年度部门工作完成情况</w:t>
      </w:r>
    </w:p>
    <w:p>
      <w:pPr>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（一）党的建设不断加强，宣传思想工作扎实有力</w:t>
      </w:r>
    </w:p>
    <w:p>
      <w:pPr>
        <w:spacing w:line="64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（二）综治维稳扎实有力，社会大局和谐稳定。</w:t>
      </w:r>
    </w:p>
    <w:p>
      <w:pPr>
        <w:spacing w:line="64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（三）重点检查整治，突出安全监管</w:t>
      </w:r>
    </w:p>
    <w:p>
      <w:pPr>
        <w:spacing w:line="640" w:lineRule="exact"/>
        <w:ind w:left="632"/>
        <w:rPr>
          <w:rFonts w:hint="default" w:ascii="Times New Roman" w:hAnsi="Times New Roman" w:eastAsia="仿宋_GB2312" w:cs="Times New Roman"/>
          <w:szCs w:val="32"/>
        </w:rPr>
      </w:pPr>
      <w:r>
        <w:rPr>
          <w:rFonts w:hint="default" w:ascii="Times New Roman" w:hAnsi="Times New Roman" w:eastAsia="仿宋_GB2312" w:cs="Times New Roman"/>
          <w:szCs w:val="32"/>
        </w:rPr>
        <w:t>（四）环境整治措施到位，生态宜居效果明显。</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（五）脱贫攻坚。多措并举，增强脱贫攻坚工作的动力。</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（六）织密筑牢环境保护网格，全面落实工作措施。</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（七）优化提升营商环境，全力服务项目建设。</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（八）惠民政策全面落实，民生投入持续加大。</w:t>
      </w:r>
    </w:p>
    <w:p>
      <w:pPr>
        <w:ind w:firstLine="640"/>
        <w:rPr>
          <w:rFonts w:hint="default" w:ascii="Times New Roman" w:hAnsi="Times New Roman" w:eastAsia="黑体" w:cs="Times New Roman"/>
          <w:b/>
          <w:bCs/>
          <w:szCs w:val="32"/>
        </w:rPr>
      </w:pPr>
      <w:r>
        <w:rPr>
          <w:rFonts w:hint="default" w:ascii="Times New Roman" w:hAnsi="Times New Roman" w:eastAsia="黑体" w:cs="Times New Roman"/>
          <w:b/>
          <w:bCs/>
          <w:szCs w:val="32"/>
        </w:rPr>
        <w:t>三、部门决算单位构成</w:t>
      </w:r>
    </w:p>
    <w:p>
      <w:pPr>
        <w:spacing w:line="560" w:lineRule="exact"/>
        <w:ind w:firstLine="640" w:firstLineChars="200"/>
        <w:rPr>
          <w:rFonts w:hint="default" w:ascii="Times New Roman" w:hAnsi="Times New Roman" w:eastAsia="黑体" w:cs="Times New Roman"/>
          <w:szCs w:val="32"/>
        </w:rPr>
      </w:pPr>
      <w:r>
        <w:rPr>
          <w:rFonts w:hint="default" w:ascii="Times New Roman" w:hAnsi="Times New Roman" w:eastAsia="仿宋_GB2312" w:cs="Times New Roman"/>
          <w:szCs w:val="32"/>
        </w:rPr>
        <w:t>从决算单位构成看，本部门的部门决算包括部门本级（机关）决算。</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纳入本部门2018年部门决算编制范围的二级决算单位共有0个，包括：</w:t>
      </w:r>
    </w:p>
    <w:tbl>
      <w:tblPr>
        <w:tblStyle w:val="6"/>
        <w:tblW w:w="7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shd w:val="clear" w:color="auto" w:fill="auto"/>
          </w:tcPr>
          <w:p>
            <w:pPr>
              <w:spacing w:line="520" w:lineRule="exact"/>
              <w:ind w:firstLine="320" w:firstLineChars="100"/>
              <w:rPr>
                <w:rFonts w:hint="default" w:ascii="Times New Roman" w:hAnsi="Times New Roman" w:eastAsia="仿宋_GB2312" w:cs="Times New Roman"/>
                <w:szCs w:val="32"/>
              </w:rPr>
            </w:pPr>
            <w:r>
              <w:rPr>
                <w:rFonts w:hint="default" w:ascii="Times New Roman" w:hAnsi="Times New Roman" w:eastAsia="仿宋_GB2312" w:cs="Times New Roman"/>
                <w:szCs w:val="32"/>
              </w:rPr>
              <w:t>序号</w:t>
            </w:r>
          </w:p>
        </w:tc>
        <w:tc>
          <w:tcPr>
            <w:tcW w:w="6585" w:type="dxa"/>
            <w:shd w:val="clear" w:color="auto" w:fill="auto"/>
          </w:tcPr>
          <w:p>
            <w:pPr>
              <w:spacing w:line="520" w:lineRule="exact"/>
              <w:ind w:firstLine="1920" w:firstLineChars="600"/>
              <w:rPr>
                <w:rFonts w:hint="default" w:ascii="Times New Roman" w:hAnsi="Times New Roman" w:eastAsia="仿宋_GB2312" w:cs="Times New Roman"/>
                <w:szCs w:val="32"/>
              </w:rPr>
            </w:pPr>
            <w:r>
              <w:rPr>
                <w:rFonts w:hint="default" w:ascii="Times New Roman" w:hAnsi="Times New Roman" w:eastAsia="仿宋_GB2312" w:cs="Times New Roman"/>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shd w:val="clear" w:color="auto" w:fill="auto"/>
          </w:tcPr>
          <w:p>
            <w:pPr>
              <w:spacing w:line="52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w:t>
            </w:r>
          </w:p>
        </w:tc>
        <w:tc>
          <w:tcPr>
            <w:tcW w:w="6585" w:type="dxa"/>
            <w:shd w:val="clear" w:color="auto" w:fill="auto"/>
          </w:tcPr>
          <w:p>
            <w:pPr>
              <w:spacing w:line="52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咸阳市渭城区北杜街道办事处</w:t>
            </w:r>
          </w:p>
        </w:tc>
      </w:tr>
    </w:tbl>
    <w:p>
      <w:pPr>
        <w:ind w:firstLine="640"/>
        <w:rPr>
          <w:rFonts w:hint="default" w:ascii="Times New Roman" w:hAnsi="Times New Roman" w:eastAsia="黑体" w:cs="Times New Roman"/>
          <w:b/>
          <w:bCs/>
          <w:szCs w:val="32"/>
        </w:rPr>
      </w:pPr>
      <w:r>
        <w:rPr>
          <w:rFonts w:hint="default" w:ascii="Times New Roman" w:hAnsi="Times New Roman" w:eastAsia="黑体" w:cs="Times New Roman"/>
          <w:b/>
          <w:bCs/>
          <w:szCs w:val="32"/>
        </w:rPr>
        <w:t>四、部门人员情况说明</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截止2018年底，北杜街道办事处人员编制80人，其中行政编制25人、事业编制55人；实有人员155人，其中行政25人、事业130人。单位管理的离退休人员0人。</w:t>
      </w:r>
    </w:p>
    <w:p>
      <w:pPr>
        <w:ind w:firstLine="640"/>
        <w:rPr>
          <w:rFonts w:hint="default" w:ascii="Times New Roman" w:hAnsi="Times New Roman" w:eastAsia="仿宋_GB2312" w:cs="Times New Roman"/>
          <w:szCs w:val="32"/>
        </w:rPr>
      </w:pPr>
      <w:r>
        <w:rPr>
          <w:rFonts w:hint="default" w:ascii="Times New Roman" w:hAnsi="Times New Roman" w:cs="Times New Roman"/>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numPr>
          <w:ilvl w:val="0"/>
          <w:numId w:val="1"/>
        </w:numPr>
        <w:ind w:firstLine="640"/>
        <w:rPr>
          <w:rFonts w:hint="default" w:ascii="Times New Roman" w:hAnsi="Times New Roman" w:eastAsia="黑体" w:cs="Times New Roman"/>
          <w:b/>
          <w:bCs/>
          <w:szCs w:val="32"/>
        </w:rPr>
      </w:pPr>
      <w:r>
        <w:rPr>
          <w:rFonts w:hint="default" w:ascii="Times New Roman" w:hAnsi="Times New Roman" w:eastAsia="黑体" w:cs="Times New Roman"/>
          <w:b/>
          <w:bCs/>
          <w:szCs w:val="32"/>
        </w:rPr>
        <w:t>部门决算收支情况说明</w:t>
      </w:r>
    </w:p>
    <w:p>
      <w:pPr>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（一）2018年度收入支出总体情况说明</w:t>
      </w:r>
    </w:p>
    <w:p>
      <w:pPr>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1.收入合计2948.72万元，较上年增加</w:t>
      </w:r>
      <w:bookmarkStart w:id="0" w:name="_Hlk20650857"/>
      <w:r>
        <w:rPr>
          <w:rFonts w:hint="default" w:ascii="Times New Roman" w:hAnsi="Times New Roman" w:eastAsia="仿宋_GB2312" w:cs="Times New Roman"/>
          <w:szCs w:val="32"/>
        </w:rPr>
        <w:t>846.11</w:t>
      </w:r>
      <w:bookmarkEnd w:id="0"/>
      <w:r>
        <w:rPr>
          <w:rFonts w:hint="default" w:ascii="Times New Roman" w:hAnsi="Times New Roman" w:eastAsia="仿宋_GB2312" w:cs="Times New Roman"/>
          <w:szCs w:val="32"/>
        </w:rPr>
        <w:t>万元，增加的主要原因是</w:t>
      </w:r>
      <w:bookmarkStart w:id="1" w:name="_Hlk20646476"/>
      <w:r>
        <w:rPr>
          <w:rFonts w:hint="default" w:ascii="Times New Roman" w:hAnsi="Times New Roman" w:eastAsia="仿宋_GB2312" w:cs="Times New Roman"/>
          <w:szCs w:val="32"/>
        </w:rPr>
        <w:t>街办人员增加，保障经费增加</w:t>
      </w:r>
      <w:bookmarkEnd w:id="1"/>
      <w:r>
        <w:rPr>
          <w:rFonts w:hint="default" w:ascii="Times New Roman" w:hAnsi="Times New Roman" w:eastAsia="仿宋_GB2312" w:cs="Times New Roman"/>
          <w:szCs w:val="32"/>
        </w:rPr>
        <w:t>。支出总计2948.72万元，较上年增加846.11元，增加的主要原因是街办人员增加，保障经费增加。</w:t>
      </w:r>
    </w:p>
    <w:p>
      <w:pPr>
        <w:ind w:firstLine="640" w:firstLineChars="200"/>
        <w:jc w:val="left"/>
        <w:rPr>
          <w:rFonts w:hint="default" w:ascii="Times New Roman" w:hAnsi="Times New Roman" w:eastAsia="仿宋_GB2312" w:cs="Times New Roman"/>
          <w:szCs w:val="32"/>
        </w:rPr>
      </w:pPr>
      <w:r>
        <w:rPr>
          <w:rFonts w:hint="default" w:ascii="Times New Roman" w:hAnsi="Times New Roman" w:eastAsia="仿宋_GB2312" w:cs="Times New Roman"/>
          <w:szCs w:val="32"/>
        </w:rPr>
        <w:t>2.本年度收入构成</w:t>
      </w:r>
      <w:bookmarkStart w:id="2" w:name="_MON_1631262156"/>
      <w:bookmarkEnd w:id="2"/>
    </w:p>
    <w:p>
      <w:pPr>
        <w:ind w:firstLine="640" w:firstLineChars="200"/>
        <w:jc w:val="left"/>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见附表</w:t>
      </w:r>
    </w:p>
    <w:p>
      <w:pPr>
        <w:ind w:firstLine="640" w:firstLineChars="200"/>
        <w:jc w:val="left"/>
        <w:rPr>
          <w:rFonts w:hint="default" w:ascii="Times New Roman" w:hAnsi="Times New Roman" w:eastAsia="仿宋_GB2312" w:cs="Times New Roman"/>
          <w:szCs w:val="32"/>
        </w:rPr>
      </w:pP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rPr>
        <w:t>本年度支出构成情况。</w:t>
      </w:r>
    </w:p>
    <w:p>
      <w:pPr>
        <w:ind w:firstLine="640" w:firstLineChars="200"/>
        <w:jc w:val="left"/>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见附表</w:t>
      </w:r>
    </w:p>
    <w:p>
      <w:pPr>
        <w:ind w:firstLine="720" w:firstLineChars="225"/>
        <w:rPr>
          <w:rFonts w:hint="default" w:ascii="Times New Roman" w:hAnsi="Times New Roman" w:eastAsia="楷体" w:cs="Times New Roman"/>
          <w:szCs w:val="32"/>
        </w:rPr>
      </w:pPr>
      <w:r>
        <w:rPr>
          <w:rFonts w:hint="default" w:ascii="Times New Roman" w:hAnsi="Times New Roman" w:eastAsia="楷体" w:cs="Times New Roman"/>
          <w:szCs w:val="32"/>
        </w:rPr>
        <w:t>（二）2018年度财政拨款收入支出总体情况说明</w:t>
      </w:r>
    </w:p>
    <w:p>
      <w:pPr>
        <w:spacing w:line="52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 收入合计2948.72万元,其中一般公共预算财政拨款2938.72万元，政府性基金预算财政拨款10万元，较上年增加846.11万元。支出合计2948.72万元，较上年增加846.11万元。增加的主要原因是人员增加，保障经费增加。</w:t>
      </w:r>
    </w:p>
    <w:p>
      <w:pPr>
        <w:ind w:firstLine="640" w:firstLineChars="200"/>
        <w:jc w:val="left"/>
        <w:rPr>
          <w:rFonts w:hint="default" w:ascii="Times New Roman" w:hAnsi="Times New Roman" w:eastAsia="仿宋_GB2312" w:cs="Times New Roman"/>
          <w:szCs w:val="32"/>
        </w:rPr>
      </w:pPr>
      <w:r>
        <w:rPr>
          <w:rFonts w:hint="default" w:ascii="Times New Roman" w:hAnsi="Times New Roman" w:eastAsia="仿宋_GB2312" w:cs="Times New Roman"/>
          <w:szCs w:val="32"/>
        </w:rPr>
        <w:t>2.一般公共预算财政拨款支出情况。</w:t>
      </w:r>
    </w:p>
    <w:p>
      <w:pPr>
        <w:ind w:firstLine="640" w:firstLineChars="200"/>
        <w:jc w:val="left"/>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见附表</w:t>
      </w:r>
    </w:p>
    <w:p>
      <w:pPr>
        <w:numPr>
          <w:ilvl w:val="0"/>
          <w:numId w:val="2"/>
        </w:numPr>
        <w:ind w:firstLine="640" w:firstLineChars="200"/>
        <w:jc w:val="left"/>
        <w:rPr>
          <w:rFonts w:hint="default" w:ascii="Times New Roman" w:hAnsi="Times New Roman" w:eastAsia="仿宋_GB2312" w:cs="Times New Roman"/>
          <w:szCs w:val="32"/>
        </w:rPr>
      </w:pPr>
      <w:r>
        <w:rPr>
          <w:rFonts w:hint="default" w:ascii="Times New Roman" w:hAnsi="Times New Roman" w:eastAsia="仿宋_GB2312" w:cs="Times New Roman"/>
          <w:szCs w:val="32"/>
        </w:rPr>
        <w:t>一般公共预算财政拨款基本支出决算情况。</w:t>
      </w:r>
    </w:p>
    <w:p>
      <w:pPr>
        <w:ind w:firstLine="640" w:firstLineChars="200"/>
        <w:jc w:val="left"/>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见附表</w:t>
      </w:r>
    </w:p>
    <w:p>
      <w:pPr>
        <w:ind w:firstLine="720" w:firstLineChars="225"/>
        <w:rPr>
          <w:rFonts w:hint="default" w:ascii="Times New Roman" w:hAnsi="Times New Roman" w:eastAsia="仿宋_GB2312" w:cs="Times New Roman"/>
          <w:szCs w:val="32"/>
        </w:rPr>
      </w:pPr>
      <w:r>
        <w:rPr>
          <w:rFonts w:hint="default" w:ascii="Times New Roman" w:hAnsi="Times New Roman" w:eastAsia="仿宋_GB2312" w:cs="Times New Roman"/>
          <w:szCs w:val="32"/>
        </w:rPr>
        <w:t>4.政府性基金财政拨款收支情况说明。</w:t>
      </w:r>
    </w:p>
    <w:p>
      <w:pPr>
        <w:widowControl/>
        <w:rPr>
          <w:rFonts w:hint="default" w:ascii="Times New Roman" w:hAnsi="Times New Roman" w:eastAsia="仿宋_GB2312" w:cs="Times New Roman"/>
          <w:szCs w:val="32"/>
        </w:rPr>
      </w:pPr>
      <w:r>
        <w:rPr>
          <w:rFonts w:hint="default" w:ascii="Times New Roman" w:hAnsi="Times New Roman" w:cs="Times New Roman"/>
          <w:color w:val="000000"/>
          <w:kern w:val="0"/>
          <w:sz w:val="22"/>
          <w:szCs w:val="22"/>
        </w:rPr>
        <w:t xml:space="preserve">  </w:t>
      </w:r>
      <w:r>
        <w:rPr>
          <w:rFonts w:hint="default" w:ascii="Times New Roman" w:hAnsi="Times New Roman" w:eastAsia="仿宋_GB2312" w:cs="Times New Roman"/>
          <w:szCs w:val="32"/>
        </w:rPr>
        <w:t>本部门2018年政府性基金决算收入为地方旅游开发项目补助10万元，已用于北杜办民俗旅游大石头村公厕改造项目。</w:t>
      </w:r>
    </w:p>
    <w:p>
      <w:pPr>
        <w:ind w:firstLine="720" w:firstLineChars="225"/>
        <w:rPr>
          <w:rFonts w:hint="default" w:ascii="Times New Roman" w:hAnsi="Times New Roman" w:eastAsia="仿宋_GB2312" w:cs="Times New Roman"/>
          <w:szCs w:val="32"/>
        </w:rPr>
      </w:pPr>
      <w:r>
        <w:rPr>
          <w:rFonts w:hint="default" w:ascii="Times New Roman" w:hAnsi="Times New Roman" w:eastAsia="仿宋_GB2312" w:cs="Times New Roman"/>
          <w:szCs w:val="32"/>
        </w:rPr>
        <w:t>5.国有资本经营财政拨款收支情况说明。</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本部门2018年无国有资本经营决算拨款收支。</w:t>
      </w:r>
    </w:p>
    <w:p>
      <w:pPr>
        <w:ind w:firstLine="640"/>
        <w:rPr>
          <w:rFonts w:hint="default" w:ascii="Times New Roman" w:hAnsi="Times New Roman" w:eastAsia="楷体" w:cs="Times New Roman"/>
          <w:szCs w:val="32"/>
        </w:rPr>
      </w:pPr>
      <w:r>
        <w:rPr>
          <w:rFonts w:hint="default" w:ascii="Times New Roman" w:hAnsi="Times New Roman" w:eastAsia="楷体" w:cs="Times New Roman"/>
          <w:szCs w:val="32"/>
        </w:rPr>
        <w:t>（三）2018年度“三公”经费、培训费及会议费支出情况说明</w:t>
      </w:r>
    </w:p>
    <w:p>
      <w:pPr>
        <w:ind w:firstLine="720" w:firstLineChars="225"/>
        <w:rPr>
          <w:rFonts w:hint="default" w:ascii="Times New Roman" w:hAnsi="Times New Roman" w:eastAsia="仿宋_GB2312" w:cs="Times New Roman"/>
          <w:szCs w:val="32"/>
        </w:rPr>
      </w:pPr>
      <w:r>
        <w:rPr>
          <w:rFonts w:hint="default" w:ascii="Times New Roman" w:hAnsi="Times New Roman" w:eastAsia="仿宋_GB2312" w:cs="Times New Roman"/>
          <w:szCs w:val="32"/>
        </w:rPr>
        <w:t>1.“三公”经费财政拨款支出总体情况说明。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2018年度公共预算财政拨款安排的“三公经费”支出3万元，较2017年度减少0.5万元，其中：因公出国（境）费用0元，公务用车购置及运行维护费3万元，比2017年度减少0.5万元，主要是使用电动车频次增加，公务用车使用频次减少。本年度无公车购置。现公务用车保有量1辆。无公务接待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1</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因公出国（境）支出情况。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w:t>
      </w:r>
      <w:bookmarkStart w:id="3" w:name="_Hlk20658081"/>
      <w:r>
        <w:rPr>
          <w:rFonts w:hint="default" w:ascii="Times New Roman" w:hAnsi="Times New Roman" w:eastAsia="仿宋_GB2312" w:cs="Times New Roman"/>
          <w:szCs w:val="32"/>
        </w:rPr>
        <w:t>本单位无因公出国（境）支出情况。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2</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公务用车购置及运行维护费用支出情况。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2018 年购置车辆 0 台，支出 0 万元，公务用车运行维护费支出3万元,比上年减收少0.5万元，主要是使用电动车频次增加，公务用车使用频次减少。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3</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公务接待费支出情况。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本单位无公务接待费支出情况。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2.培训费支出情况。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本单位无培训费支出情况。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3.会议费支出情况。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本单位无会议费支出情况。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六、2018年度部门绩效管理情况说明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Cs w:val="32"/>
        </w:rPr>
      </w:pPr>
      <w:r>
        <w:rPr>
          <w:rFonts w:hint="default" w:ascii="Times New Roman" w:hAnsi="Times New Roman" w:eastAsia="仿宋_GB2312" w:cs="Times New Roman"/>
          <w:szCs w:val="32"/>
        </w:rPr>
        <w:t>根据2018年预算批复，本单位无绩效管理。</w:t>
      </w:r>
      <w:bookmarkStart w:id="4" w:name="_MON_1630234820"/>
      <w:bookmarkEnd w:id="4"/>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七、其他重要事项的情况说明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2017年度机关运行经费支出148.96万元，较上年增加。主要原因是人员增加，保障经费增加。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（二）政府采购支出情况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本部门2018年无政府采购支出。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截止2018年末，本部门所属单位共有车辆1辆；本部门国有资产总额630.70万元。其中房屋290.15万元，车辆19.6万元，其他固定资产320.95万元，2018年当年购置电动车辆3辆。</w:t>
      </w:r>
    </w:p>
    <w:p>
      <w:pPr>
        <w:ind w:firstLine="643" w:firstLineChars="200"/>
        <w:rPr>
          <w:rFonts w:hint="default" w:ascii="Times New Roman" w:hAnsi="Times New Roman" w:eastAsia="黑体" w:cs="Times New Roman"/>
          <w:b/>
          <w:bCs/>
          <w:szCs w:val="32"/>
        </w:rPr>
      </w:pPr>
      <w:r>
        <w:rPr>
          <w:rFonts w:hint="default" w:ascii="Times New Roman" w:hAnsi="Times New Roman" w:eastAsia="黑体" w:cs="Times New Roman"/>
          <w:b/>
          <w:bCs/>
          <w:szCs w:val="32"/>
        </w:rPr>
        <w:t>八、专业名词解释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3.“三公”经费：指部门使用一般公共预算财政拨款安排的因公出国（境）费、公务用车购置及运行费和公务接待费支出。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4.财政拨款收入：指本级财政当年拨付的资金。</w:t>
      </w:r>
    </w:p>
    <w:p>
      <w:pPr>
        <w:ind w:firstLine="640"/>
        <w:rPr>
          <w:rFonts w:hint="default" w:ascii="Times New Roman" w:hAnsi="Times New Roman" w:eastAsia="仿宋_GB2312" w:cs="Times New Roman"/>
          <w:szCs w:val="32"/>
        </w:rPr>
      </w:pPr>
      <w:r>
        <w:rPr>
          <w:rFonts w:hint="default" w:ascii="Times New Roman" w:hAnsi="Times New Roman" w:eastAsia="黑体" w:cs="Times New Roman"/>
          <w:sz w:val="36"/>
          <w:szCs w:val="36"/>
        </w:rPr>
        <w:t xml:space="preserve">  </w:t>
      </w:r>
      <w:r>
        <w:rPr>
          <w:rFonts w:hint="default" w:ascii="Times New Roman" w:hAnsi="Times New Roman" w:eastAsia="仿宋_GB2312" w:cs="Times New Roman"/>
          <w:szCs w:val="32"/>
        </w:rPr>
        <w:t xml:space="preserve">             </w:t>
      </w:r>
    </w:p>
    <w:p>
      <w:pPr>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3840" w:firstLineChars="1200"/>
        <w:jc w:val="both"/>
        <w:textAlignment w:val="auto"/>
        <w:outlineLvl w:val="9"/>
        <w:rPr>
          <w:rFonts w:hint="default" w:ascii="Times New Roman" w:hAnsi="Times New Roman" w:eastAsia="仿宋_GB2312" w:cs="Times New Roman"/>
          <w:sz w:val="32"/>
          <w:szCs w:val="32"/>
          <w:lang w:val="en-US" w:eastAsia="zh-CN"/>
        </w:rPr>
      </w:pPr>
      <w:bookmarkStart w:id="5" w:name="_GoBack"/>
      <w:bookmarkEnd w:id="5"/>
      <w:r>
        <w:rPr>
          <w:rFonts w:hint="default" w:ascii="Times New Roman" w:hAnsi="Times New Roman" w:eastAsia="仿宋_GB2312" w:cs="Times New Roman"/>
          <w:sz w:val="32"/>
          <w:szCs w:val="32"/>
          <w:lang w:val="en-US" w:eastAsia="zh-CN"/>
        </w:rPr>
        <w:t>空港新城</w:t>
      </w:r>
      <w:r>
        <w:rPr>
          <w:rFonts w:hint="eastAsia" w:ascii="Times New Roman" w:hAnsi="Times New Roman" w:eastAsia="仿宋_GB2312" w:cs="Times New Roman"/>
          <w:sz w:val="32"/>
          <w:szCs w:val="32"/>
          <w:lang w:val="en-US" w:eastAsia="zh-CN"/>
        </w:rPr>
        <w:t>北杜街道办事处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2019年9月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日</w:t>
      </w:r>
    </w:p>
    <w:p>
      <w:pPr>
        <w:rPr>
          <w:rFonts w:hint="default" w:ascii="Times New Roman" w:hAnsi="Times New Roman" w:cs="Times New Roman"/>
        </w:rPr>
      </w:pPr>
    </w:p>
    <w:sectPr>
      <w:pgSz w:w="11906" w:h="16838"/>
      <w:pgMar w:top="283" w:right="1800" w:bottom="2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CEBA"/>
    <w:multiLevelType w:val="singleLevel"/>
    <w:tmpl w:val="125ECEBA"/>
    <w:lvl w:ilvl="0" w:tentative="0">
      <w:start w:val="5"/>
      <w:numFmt w:val="chineseCounting"/>
      <w:suff w:val="nothing"/>
      <w:lvlText w:val="%1、"/>
      <w:lvlJc w:val="left"/>
      <w:rPr>
        <w:rFonts w:hint="eastAsia"/>
      </w:rPr>
    </w:lvl>
  </w:abstractNum>
  <w:abstractNum w:abstractNumId="1">
    <w:nsid w:val="34F97566"/>
    <w:multiLevelType w:val="singleLevel"/>
    <w:tmpl w:val="34F97566"/>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92444"/>
    <w:rsid w:val="000823D4"/>
    <w:rsid w:val="00093D5C"/>
    <w:rsid w:val="000B18D3"/>
    <w:rsid w:val="00157DB9"/>
    <w:rsid w:val="00165664"/>
    <w:rsid w:val="00182CA6"/>
    <w:rsid w:val="001B5047"/>
    <w:rsid w:val="00210415"/>
    <w:rsid w:val="00211FC9"/>
    <w:rsid w:val="00245E3D"/>
    <w:rsid w:val="003A1178"/>
    <w:rsid w:val="0044281D"/>
    <w:rsid w:val="00452A51"/>
    <w:rsid w:val="005A6018"/>
    <w:rsid w:val="005E30B0"/>
    <w:rsid w:val="005E3547"/>
    <w:rsid w:val="006412B2"/>
    <w:rsid w:val="00687245"/>
    <w:rsid w:val="00800887"/>
    <w:rsid w:val="00950339"/>
    <w:rsid w:val="0096418A"/>
    <w:rsid w:val="00985156"/>
    <w:rsid w:val="00997E63"/>
    <w:rsid w:val="00A46B83"/>
    <w:rsid w:val="00AF4CBD"/>
    <w:rsid w:val="00CC5DB5"/>
    <w:rsid w:val="00CE090F"/>
    <w:rsid w:val="00D73181"/>
    <w:rsid w:val="00E052EA"/>
    <w:rsid w:val="00E8186E"/>
    <w:rsid w:val="00EA5947"/>
    <w:rsid w:val="00EB167E"/>
    <w:rsid w:val="00F47BEA"/>
    <w:rsid w:val="02B60B15"/>
    <w:rsid w:val="04AD34D2"/>
    <w:rsid w:val="0542464B"/>
    <w:rsid w:val="092B4994"/>
    <w:rsid w:val="095F5F03"/>
    <w:rsid w:val="0A49501D"/>
    <w:rsid w:val="0ABB2133"/>
    <w:rsid w:val="0ACC5265"/>
    <w:rsid w:val="0B556806"/>
    <w:rsid w:val="0C5E25D5"/>
    <w:rsid w:val="0E0B1E8D"/>
    <w:rsid w:val="0E596D80"/>
    <w:rsid w:val="0EE74CF3"/>
    <w:rsid w:val="0FD77245"/>
    <w:rsid w:val="10E3449E"/>
    <w:rsid w:val="13DD5026"/>
    <w:rsid w:val="15DF1E47"/>
    <w:rsid w:val="16C30D23"/>
    <w:rsid w:val="18163111"/>
    <w:rsid w:val="18717E72"/>
    <w:rsid w:val="1BB302DD"/>
    <w:rsid w:val="1C7210BE"/>
    <w:rsid w:val="1E1B4B61"/>
    <w:rsid w:val="22EE1EAB"/>
    <w:rsid w:val="269540B3"/>
    <w:rsid w:val="28735948"/>
    <w:rsid w:val="28D73783"/>
    <w:rsid w:val="2A624316"/>
    <w:rsid w:val="2AF70BF2"/>
    <w:rsid w:val="2B864346"/>
    <w:rsid w:val="2BFB35C4"/>
    <w:rsid w:val="2ECA04B7"/>
    <w:rsid w:val="2F004C27"/>
    <w:rsid w:val="315C1E0E"/>
    <w:rsid w:val="31E53D3B"/>
    <w:rsid w:val="322B0A10"/>
    <w:rsid w:val="329B0193"/>
    <w:rsid w:val="32F16150"/>
    <w:rsid w:val="32F44A09"/>
    <w:rsid w:val="35FB794F"/>
    <w:rsid w:val="3E3D7A8B"/>
    <w:rsid w:val="403E1C0C"/>
    <w:rsid w:val="40C5481E"/>
    <w:rsid w:val="41606A0F"/>
    <w:rsid w:val="45197446"/>
    <w:rsid w:val="47166C1A"/>
    <w:rsid w:val="49CA551D"/>
    <w:rsid w:val="4A6D2E1D"/>
    <w:rsid w:val="4E4D6057"/>
    <w:rsid w:val="512464F8"/>
    <w:rsid w:val="52B26B78"/>
    <w:rsid w:val="532B4997"/>
    <w:rsid w:val="563C5F2A"/>
    <w:rsid w:val="58D7510C"/>
    <w:rsid w:val="5C3C1650"/>
    <w:rsid w:val="5C551539"/>
    <w:rsid w:val="5CB74A9E"/>
    <w:rsid w:val="5E097DAC"/>
    <w:rsid w:val="5E492444"/>
    <w:rsid w:val="5E677FF0"/>
    <w:rsid w:val="5FE72DB0"/>
    <w:rsid w:val="63384235"/>
    <w:rsid w:val="68436A53"/>
    <w:rsid w:val="68E4588C"/>
    <w:rsid w:val="6A5443E3"/>
    <w:rsid w:val="6A747F7E"/>
    <w:rsid w:val="6CF20192"/>
    <w:rsid w:val="6E0A72E7"/>
    <w:rsid w:val="6F44375E"/>
    <w:rsid w:val="710C2D14"/>
    <w:rsid w:val="762079F2"/>
    <w:rsid w:val="76D85EF2"/>
    <w:rsid w:val="7CCE4EF4"/>
    <w:rsid w:val="7DE56D3A"/>
    <w:rsid w:val="7E0007C3"/>
    <w:rsid w:val="7E18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批注框文本 字符"/>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北杜街道办事处人员情况表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Sheet1!$A$4</c:f>
              <c:strCache>
                <c:ptCount val="1"/>
                <c:pt idx="0">
                  <c:v>行政</c:v>
                </c:pt>
              </c:strCache>
            </c:strRef>
          </c:tx>
          <c:spPr>
            <a:solidFill>
              <a:schemeClr val="accent1"/>
            </a:solidFill>
            <a:ln>
              <a:noFill/>
            </a:ln>
            <a:effectLst/>
            <a:sp3d/>
          </c:spPr>
          <c:invertIfNegative val="0"/>
          <c:dLbls>
            <c:delete val="1"/>
          </c:dLbls>
          <c:cat>
            <c:strRef>
              <c:f>Sheet1!$B$3:$D$3</c:f>
              <c:strCache>
                <c:ptCount val="3"/>
                <c:pt idx="0">
                  <c:v>编制数</c:v>
                </c:pt>
                <c:pt idx="1">
                  <c:v>在职</c:v>
                </c:pt>
                <c:pt idx="2">
                  <c:v>单位管理的离退休人员</c:v>
                </c:pt>
              </c:strCache>
            </c:strRef>
          </c:cat>
          <c:val>
            <c:numRef>
              <c:f>Sheet1!$B$4:$D$4</c:f>
              <c:numCache>
                <c:formatCode>General</c:formatCode>
                <c:ptCount val="3"/>
                <c:pt idx="0">
                  <c:v>25</c:v>
                </c:pt>
                <c:pt idx="1">
                  <c:v>25</c:v>
                </c:pt>
                <c:pt idx="2">
                  <c:v>0</c:v>
                </c:pt>
              </c:numCache>
            </c:numRef>
          </c:val>
        </c:ser>
        <c:ser>
          <c:idx val="1"/>
          <c:order val="1"/>
          <c:tx>
            <c:strRef>
              <c:f>Sheet1!$A$5</c:f>
              <c:strCache>
                <c:ptCount val="1"/>
                <c:pt idx="0">
                  <c:v>事业</c:v>
                </c:pt>
              </c:strCache>
            </c:strRef>
          </c:tx>
          <c:spPr>
            <a:solidFill>
              <a:schemeClr val="accent2"/>
            </a:solidFill>
            <a:ln>
              <a:noFill/>
            </a:ln>
            <a:effectLst/>
            <a:sp3d/>
          </c:spPr>
          <c:invertIfNegative val="0"/>
          <c:dLbls>
            <c:delete val="1"/>
          </c:dLbls>
          <c:cat>
            <c:strRef>
              <c:f>Sheet1!$B$3:$D$3</c:f>
              <c:strCache>
                <c:ptCount val="3"/>
                <c:pt idx="0">
                  <c:v>编制数</c:v>
                </c:pt>
                <c:pt idx="1">
                  <c:v>在职</c:v>
                </c:pt>
                <c:pt idx="2">
                  <c:v>单位管理的离退休人员</c:v>
                </c:pt>
              </c:strCache>
            </c:strRef>
          </c:cat>
          <c:val>
            <c:numRef>
              <c:f>Sheet1!$B$5:$D$5</c:f>
              <c:numCache>
                <c:formatCode>General</c:formatCode>
                <c:ptCount val="3"/>
                <c:pt idx="0">
                  <c:v>55</c:v>
                </c:pt>
                <c:pt idx="1">
                  <c:v>130</c:v>
                </c:pt>
                <c:pt idx="2">
                  <c:v>0</c:v>
                </c:pt>
              </c:numCache>
            </c:numRef>
          </c:val>
        </c:ser>
        <c:dLbls>
          <c:showLegendKey val="0"/>
          <c:showVal val="0"/>
          <c:showCatName val="0"/>
          <c:showSerName val="0"/>
          <c:showPercent val="0"/>
          <c:showBubbleSize val="0"/>
        </c:dLbls>
        <c:gapWidth val="150"/>
        <c:axId val="842772176"/>
        <c:axId val="842772496"/>
      </c:barChart>
      <c:catAx>
        <c:axId val="84277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772496"/>
        <c:crosses val="autoZero"/>
        <c:auto val="1"/>
        <c:lblAlgn val="ctr"/>
        <c:lblOffset val="100"/>
        <c:noMultiLvlLbl val="0"/>
      </c:catAx>
      <c:valAx>
        <c:axId val="84277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77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4B908-B83E-4CD8-9F07-01D8353B2097}">
  <ds:schemaRefs/>
</ds:datastoreItem>
</file>

<file path=docProps/app.xml><?xml version="1.0" encoding="utf-8"?>
<Properties xmlns="http://schemas.openxmlformats.org/officeDocument/2006/extended-properties" xmlns:vt="http://schemas.openxmlformats.org/officeDocument/2006/docPropsVTypes">
  <Template>Normal</Template>
  <Pages>13</Pages>
  <Words>353</Words>
  <Characters>2016</Characters>
  <Lines>16</Lines>
  <Paragraphs>4</Paragraphs>
  <TotalTime>1</TotalTime>
  <ScaleCrop>false</ScaleCrop>
  <LinksUpToDate>false</LinksUpToDate>
  <CharactersWithSpaces>2365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2018-01-17T10:25:00Z</dcterms:created>
  <dc:creator>郭超(拟稿)</dc:creator>
  <cp:lastModifiedBy>Bluer</cp:lastModifiedBy>
  <cp:lastPrinted>2019-09-17T06:27:00Z</cp:lastPrinted>
  <dcterms:modified xsi:type="dcterms:W3CDTF">2019-11-20T08:33:58Z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