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空港新城</w:t>
      </w:r>
      <w:r>
        <w:rPr>
          <w:rFonts w:hint="default" w:ascii="Times New Roman" w:hAnsi="Times New Roman" w:eastAsia="方正小标宋简体" w:cs="Times New Roman"/>
          <w:sz w:val="44"/>
          <w:szCs w:val="44"/>
        </w:rPr>
        <w:t>底张街道办事处</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2018年度部门决算说明</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b/>
          <w:bCs/>
          <w:szCs w:val="32"/>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b/>
          <w:bCs/>
          <w:szCs w:val="32"/>
        </w:rPr>
      </w:pPr>
      <w:r>
        <w:rPr>
          <w:rFonts w:hint="default" w:ascii="Times New Roman" w:hAnsi="Times New Roman" w:eastAsia="黑体" w:cs="Times New Roman"/>
          <w:b/>
          <w:bCs/>
          <w:szCs w:val="32"/>
        </w:rPr>
        <w:t>一、部门主要职责及机构设置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（一）</w:t>
      </w:r>
      <w:r>
        <w:rPr>
          <w:rFonts w:hint="default" w:ascii="Times New Roman" w:hAnsi="Times New Roman" w:eastAsia="仿宋_GB2312" w:cs="Times New Roman"/>
          <w:szCs w:val="32"/>
        </w:rPr>
        <w:t>强化公共服务。负责辖区综合事务管理，行使组织领导、综合协调、监督监察等行政管理职责。负责辖区公共服务设施建设。协助有关部门搞好防灾救灾、社会救助、拥军优属、殡葬、老龄、妇幼及维护残疾人合法权益等工作。配合搞好辖区科技、教育、文化、卫生、就业、食品药品监管等工作。做好居民社会养老保险、居民医保、职工医保、农村合疗等社会保障工作及环境保护工作。协调与驻地各有关方面的社会事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（二）</w:t>
      </w:r>
      <w:r>
        <w:rPr>
          <w:rFonts w:hint="default" w:ascii="Times New Roman" w:hAnsi="Times New Roman" w:eastAsia="仿宋_GB2312" w:cs="Times New Roman"/>
          <w:szCs w:val="32"/>
        </w:rPr>
        <w:t>加强社会管理。加强平安建设宣传、普法教育、矛盾纠纷调处，做好群众来信来访处置、民族宗教、社区矫正等工作，提升社会治安综合治理水平。加强流动人口管理，配合搞好人口与计划生育工作。协助做好辖区应急、防汛、防震、抢险、人防、房管及安全生产监督检查等工作。协助做好国防动员、民兵训练和公民服兵役等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（三）</w:t>
      </w:r>
      <w:r>
        <w:rPr>
          <w:rFonts w:hint="default" w:ascii="Times New Roman" w:hAnsi="Times New Roman" w:eastAsia="仿宋_GB2312" w:cs="Times New Roman"/>
          <w:szCs w:val="32"/>
        </w:rPr>
        <w:t>优化发展环境。配合搞好辖区产业规划制定，为招商引资、产业结构调整等提供良好服务。配合搞好辖区劳动监察、文化市场监管等有关工作。参与城市管理，配合做好市政建设、社区规划等工作，组织开展创建文明城市、卫生城市、文明单位等活动。提供辖区有关统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_GB2312" w:cs="Times New Roman"/>
          <w:szCs w:val="32"/>
          <w:lang w:val="en-US" w:eastAsia="zh-CN"/>
        </w:rPr>
        <w:t>（四）</w:t>
      </w:r>
      <w:r>
        <w:rPr>
          <w:rFonts w:hint="default" w:ascii="Times New Roman" w:hAnsi="Times New Roman" w:eastAsia="仿宋_GB2312" w:cs="Times New Roman"/>
          <w:szCs w:val="32"/>
        </w:rPr>
        <w:t>加强社区（村）组织建设。加强社区（村）党组织建设、党员队伍建设和社区（村）干部队伍建设。指导社区（村）自治组织工作，加强社区居民委员会（村委会）、业主委员会建设。指导监督物业管理服务站、社区居民委员会（村委会）履行职责，提高管理服务能力。引导社会力量共建和谐社会（村）</w:t>
      </w:r>
      <w:r>
        <w:rPr>
          <w:rFonts w:hint="default" w:ascii="Times New Roman" w:hAnsi="Times New Roman" w:eastAsia="仿宋" w:cs="Times New Roman"/>
          <w:szCs w:val="32"/>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b/>
          <w:bCs/>
          <w:szCs w:val="32"/>
        </w:rPr>
      </w:pPr>
      <w:r>
        <w:rPr>
          <w:rFonts w:hint="default" w:ascii="Times New Roman" w:hAnsi="Times New Roman" w:eastAsia="黑体" w:cs="Times New Roman"/>
          <w:b/>
          <w:bCs/>
          <w:szCs w:val="32"/>
        </w:rPr>
        <w:t>二、2018年度部门工作完成情况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今年以来，底张街办按照新城党委、管委会安排，围绕指标抓工作，紧盯全年目标任务，集中力量完成“6+2”考核任务，全面落实新城党委、管委会各项部署，整体工作推动明显，成效显著。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纵观今年前三季度考核排名，一、二季度均以新城优秀等次位居空港三个街镇第一名，三季度考核排名结果未公布，据目前掌握的情况，西咸6项直考无前三名次，综治信访维稳和城乡人居环境位居新区排名后两位，四季度考核乃至年终考核压力巨大。但整体来看，各项指标冲刺劲头强劲，争先进位的趋势势不可挡。具体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Cs w:val="32"/>
        </w:rPr>
      </w:pPr>
      <w:r>
        <w:rPr>
          <w:rFonts w:hint="default" w:ascii="Times New Roman" w:hAnsi="Times New Roman" w:eastAsia="仿宋" w:cs="Times New Roman"/>
          <w:b/>
          <w:szCs w:val="32"/>
        </w:rPr>
        <w:t>一是基层党建亮点纷呈。</w:t>
      </w:r>
      <w:r>
        <w:rPr>
          <w:rFonts w:hint="eastAsia" w:ascii="仿宋_GB2312" w:hAnsi="仿宋_GB2312" w:eastAsia="仿宋_GB2312" w:cs="仿宋_GB2312"/>
          <w:szCs w:val="32"/>
        </w:rPr>
        <w:t>按照“12345”工作思路，全面完成党建各项工作。在队伍建设方面，组织党务知识培训5次，转正党员14人，新发展7人，用时一个月完成辖区12个党支部换届工作。在规范化方面，全力推进顺陵、师家寨支部标准化示范建设工作。全年各支部组织召开党员大会84次，开展支部书记讲党课84次，远程教育24次；在组织庆祝建党97周年系列活动中，举办美丽党建擂台赛，21个村党支部同台比武；开展“重温红色梦，重走长征路”活动，组织机关干部、村组干部赴梁家河接受实地教育，党的建设开展如火如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b/>
          <w:szCs w:val="32"/>
        </w:rPr>
        <w:t>二是铁腕治霾动真碰硬。</w:t>
      </w:r>
      <w:r>
        <w:rPr>
          <w:rFonts w:hint="eastAsia" w:ascii="仿宋_GB2312" w:hAnsi="仿宋_GB2312" w:eastAsia="仿宋_GB2312" w:cs="仿宋_GB2312"/>
          <w:szCs w:val="32"/>
        </w:rPr>
        <w:t>按照“6个100%”和“7个到位”要求，完成南排水贯通和污水池回填整治。在扬尘治理工作中，对全办22个在建工地和两类企业实行“全天候”监管，督促企业采取洒水、冲洗、遮盖等措施 制扬尘。在散乱污整治工作中，开展专项检查69次，召开专项例会21次，交办反馈会13次，取缔散乱污企业38家，整改企业11家，关停治理13家。在大气污染防治工作中，实行环境执法与污染检测联动机制，将78家动态台账纳入监管，完成餐饮业油烟 整改46家，开展夏秋两季禁烧工作，实现 “不点一把火，不冒一缕烟”禁烧目标，辖区大气质量明显改善。</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default" w:ascii="Times New Roman" w:hAnsi="Times New Roman" w:eastAsia="仿宋" w:cs="Times New Roman"/>
          <w:b/>
          <w:szCs w:val="32"/>
        </w:rPr>
        <w:t>三是城乡环境明显改善。</w:t>
      </w:r>
      <w:r>
        <w:rPr>
          <w:rFonts w:hint="eastAsia" w:ascii="仿宋_GB2312" w:hAnsi="仿宋_GB2312" w:eastAsia="仿宋_GB2312" w:cs="仿宋_GB2312"/>
          <w:szCs w:val="32"/>
        </w:rPr>
        <w:t>按照“环境整治、生态优越、设施完善、监理有序”目标，严格各村环境整治目标落实责任制，长效开展整治提升。在环境整治工作中，今年分别在四个季节开展4次专项整治工作，专项巡查80余次，清理垃圾点68次，350余方。在环境提升工作中，完成陈家、陈马、顺陵等村立面改造3万多平米；对街道环境卫生，占道出店经营等检查整治70余次，全面完成烟头、厕所革命任务，并结合路长制，及时完成破损道面修复，杜绝交通安全隐患。</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default" w:ascii="Times New Roman" w:hAnsi="Times New Roman" w:eastAsia="仿宋" w:cs="Times New Roman"/>
          <w:b/>
          <w:szCs w:val="32"/>
        </w:rPr>
        <w:t>四是脱贫攻坚多措并举。</w:t>
      </w:r>
      <w:r>
        <w:rPr>
          <w:rFonts w:hint="eastAsia" w:ascii="仿宋_GB2312" w:hAnsi="仿宋_GB2312" w:eastAsia="仿宋_GB2312" w:cs="仿宋_GB2312"/>
          <w:szCs w:val="32"/>
        </w:rPr>
        <w:t>按照“三硬三真”原则和脱贫退出要求，脱贫工作收效明显。今年以来，围绕脱贫退出举办脱贫宣传大型文艺汇演3次，更换宣传展板76块，发放彩页1万余份，在14个涉贫村开展巡回宣传1次，截止目前，前三季度共开展股金分红3次，发放38600元，特别是11月份开展文化扶贫先锋队聘任仪式，将文化扶贫工作推入高潮，辖区31户贫困户均达到退出标准。</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default" w:ascii="Times New Roman" w:hAnsi="Times New Roman" w:eastAsia="仿宋" w:cs="Times New Roman"/>
          <w:b/>
          <w:szCs w:val="32"/>
        </w:rPr>
        <w:t>五是安全生产成效显著。</w:t>
      </w:r>
      <w:r>
        <w:rPr>
          <w:rFonts w:hint="eastAsia" w:ascii="仿宋_GB2312" w:hAnsi="仿宋_GB2312" w:eastAsia="仿宋_GB2312" w:cs="仿宋_GB2312"/>
          <w:szCs w:val="32"/>
        </w:rPr>
        <w:t>按照“紧扣六个抓手、打造三个一流、实现一个目标”工作思路和“管行业必须管安全”总体要求，深入推进安全生产规范管理，与辖区各村，工贸企业、“六小门店”等签订安全生产责任书120份。完善更新台账，实现对监管行业“一企一档”，做到底子清情况明。制定突发公共事件、生产安全事故及危险化学品生产安全等事故“三项预案”，开展安全教育培训18次，应急演练9次，极大提高安全意识和防范处置安全事故的能力。</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b/>
          <w:szCs w:val="32"/>
        </w:rPr>
        <w:t>六是综治信访安全维稳。</w:t>
      </w:r>
      <w:r>
        <w:rPr>
          <w:rFonts w:hint="eastAsia" w:ascii="仿宋_GB2312" w:hAnsi="仿宋_GB2312" w:eastAsia="仿宋_GB2312" w:cs="仿宋_GB2312"/>
          <w:szCs w:val="32"/>
        </w:rPr>
        <w:t>按照 “维护社会大局稳定，建设稳定和谐底张”目标，开创综治信访工作新局面。推行领导包案制，按照包“五包一”责任，实现四级包抓工作。每月召开稳评分析会，研判维稳形势，解决难点问题，同时，创新宣传手段，提高群众满意度，先后举办平安建设百日宣传启动仪式和扫黑除恶冬季大巡查启动仪式。三季度，平安建设满意度调查荣获西咸22个街办第一名。目前，接待群众来信来访49余人次，网上信访10余件，化解处置率达100%。</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b/>
          <w:szCs w:val="32"/>
        </w:rPr>
        <w:t>七是征地拆迁及回迁安置快速平稳。</w:t>
      </w:r>
      <w:r>
        <w:rPr>
          <w:rFonts w:hint="eastAsia" w:ascii="仿宋_GB2312" w:hAnsi="仿宋_GB2312" w:eastAsia="仿宋_GB2312" w:cs="仿宋_GB2312"/>
          <w:szCs w:val="32"/>
        </w:rPr>
        <w:t>今年新城征地拆迁及项目建设主要集中在底张辖区。涉及市政管网及项目建设用地5000余亩，海绵城市、3P绿化项目用地5700余亩，目前，完成征地5579余亩，流转土地3765亩。涉及拆迁4个村。其中花杨村122户，朱家寨170户，布里村504户，瓦刘村476户，除瓦刘村即将清零外，其余各村全部完成。回迁涉及韩家村整村及瓦刘村等部分村共计357户，1644人。交付房屋938套，各项工作成绩喜人，圆满完成各项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Cs w:val="32"/>
        </w:rPr>
      </w:pPr>
      <w:r>
        <w:rPr>
          <w:rFonts w:hint="default" w:ascii="Times New Roman" w:hAnsi="Times New Roman" w:eastAsia="仿宋" w:cs="Times New Roman"/>
          <w:b/>
          <w:szCs w:val="32"/>
        </w:rPr>
        <w:t>八是事权承接严密规范。</w:t>
      </w:r>
      <w:r>
        <w:rPr>
          <w:rFonts w:hint="eastAsia" w:ascii="仿宋_GB2312" w:hAnsi="仿宋_GB2312" w:eastAsia="仿宋_GB2312" w:cs="仿宋_GB2312"/>
          <w:szCs w:val="32"/>
        </w:rPr>
        <w:t>按照下放事权“接得住、用得好”原则，主动承担新城“放管服”改革试点任务，圆满承办新城“放管服”改革试点街镇启动仪式，按时完成“一图一表”绘制上报，建立事权台账。据统计，目前本级职权行使9212次，第一批下放职权行使961次，第二批委托事权行使708次，各项事权行使有效，试点工作推动顺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今年以来，在新城党委、管委会的正确领导下，底张各项工作业绩突出，成效显著。在意识形态方面，明确中心组学习计划，每月举行一次集中学习，截止目前已完成学习11次。在落实控烟方面，以“烟头革命”为契机，全面落实机关禁烟，张贴禁烟标识，形成禁烟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在机关管理方面，按照新城下发的行政事业人员请休假管理办法，规范考勤管理，并与考核挂钩严格兑现。在社区建设方面，不断完善社区管理架构，加大底商运营管理，社区商圈初显规模。在乡村振兴方面，对暂不拆村进行提升打造，调整产业结构，扩大群众增收。政治生态环境，提升村容村貌。在执纪监督方面，落实领导干部“一岗双责”，建立党风廉政责任清单，灵活运用“四种形态”，使全面从严治党向基层延伸，先后开展重点工作督查10余次，问责党员干部40余人，办理各类违法案件35件35人。在优化提升营商环境方面，完成对便民服务大厅的升级改造，提高办事效率和服务水平。并严格按照新城部署，开展扫黑除恶宣传，对黑恶势力形成威慑震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网格化建设工作不但使我们成为试点街镇，更是我们在智慧平台建设和放管服试点推广方面的基础和主干，在网格化建设中，我们积极探索“互联网+政务”，着力推动简政放权，创新服务载体，群众政务服务体验得到极大提升，并总结出一张网格绘到底，一张清单图用到底，一个平台管到底，一支队伍沉到底，和一把尺子量到底的“五个一”经验，近年来先后迎接省部级领导调研7次，接受各级学习调研160余次。</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b/>
          <w:bCs/>
          <w:szCs w:val="32"/>
        </w:rPr>
      </w:pPr>
      <w:r>
        <w:rPr>
          <w:rFonts w:hint="default" w:ascii="Times New Roman" w:hAnsi="Times New Roman" w:eastAsia="黑体" w:cs="Times New Roman"/>
          <w:b/>
          <w:bCs/>
          <w:szCs w:val="32"/>
        </w:rPr>
        <w:t>三、部门决算单位构成</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Cs w:val="32"/>
        </w:rPr>
      </w:pPr>
      <w:r>
        <w:rPr>
          <w:rFonts w:hint="default" w:ascii="Times New Roman" w:hAnsi="Times New Roman" w:eastAsia="仿宋" w:cs="Times New Roman"/>
          <w:szCs w:val="32"/>
        </w:rPr>
        <w:t>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从决算单位构成看，本部门的部门决算包括部门本级(机关)决算。</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纳入本部门2017年部门决算编制范围的二级决算单位共有0个，包括:</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序号</w:t>
            </w:r>
          </w:p>
        </w:tc>
        <w:tc>
          <w:tcPr>
            <w:tcW w:w="6541"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p>
        </w:tc>
        <w:tc>
          <w:tcPr>
            <w:tcW w:w="6541"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渭城区底张街道办事处(机关)</w:t>
            </w:r>
          </w:p>
        </w:tc>
      </w:tr>
    </w:tbl>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b/>
          <w:bCs/>
          <w:szCs w:val="32"/>
        </w:rPr>
      </w:pPr>
      <w:r>
        <w:rPr>
          <w:rFonts w:hint="default" w:ascii="Times New Roman" w:hAnsi="Times New Roman" w:eastAsia="黑体" w:cs="Times New Roman"/>
          <w:b/>
          <w:bCs/>
          <w:szCs w:val="32"/>
        </w:rPr>
        <w:t>四、部门人员情况说明</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 w:cs="Times New Roman"/>
          <w:b/>
          <w:bCs/>
          <w:szCs w:val="32"/>
        </w:rPr>
      </w:pPr>
      <w:r>
        <w:rPr>
          <w:rFonts w:hint="default" w:ascii="Times New Roman" w:hAnsi="Times New Roman" w:eastAsia="仿宋" w:cs="Times New Roman"/>
          <w:szCs w:val="32"/>
        </w:rPr>
        <w:drawing>
          <wp:anchor distT="0" distB="0" distL="114300" distR="114300" simplePos="0" relativeHeight="251658240" behindDoc="1" locked="0" layoutInCell="1" allowOverlap="1">
            <wp:simplePos x="0" y="0"/>
            <wp:positionH relativeFrom="column">
              <wp:posOffset>172085</wp:posOffset>
            </wp:positionH>
            <wp:positionV relativeFrom="paragraph">
              <wp:posOffset>1183640</wp:posOffset>
            </wp:positionV>
            <wp:extent cx="5075555" cy="2604135"/>
            <wp:effectExtent l="4445" t="4445" r="6350" b="20320"/>
            <wp:wrapTight wrapText="bothSides">
              <wp:wrapPolygon>
                <wp:start x="21592" y="-2"/>
                <wp:lineTo x="0" y="0"/>
                <wp:lineTo x="0" y="21600"/>
                <wp:lineTo x="21592" y="21602"/>
                <wp:lineTo x="8" y="21602"/>
                <wp:lineTo x="21600" y="21600"/>
                <wp:lineTo x="21600" y="0"/>
                <wp:lineTo x="8" y="-2"/>
                <wp:lineTo x="21592" y="-2"/>
              </wp:wrapPolygon>
            </wp:wrapTight>
            <wp:docPr id="1"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仿宋_GB2312" w:eastAsia="仿宋_GB2312" w:cs="仿宋_GB2312"/>
          <w:szCs w:val="32"/>
        </w:rPr>
        <w:t>截止2018年底，本部门人员编制101人，其中行政编制26人、事业编制75人；实有人员174人，其中行政27人、事业147人。单位管理的离退休人员0人</w:t>
      </w:r>
      <w:r>
        <w:rPr>
          <w:rFonts w:hint="eastAsia" w:ascii="仿宋_GB2312" w:hAnsi="仿宋_GB2312" w:eastAsia="仿宋_GB2312" w:cs="仿宋_GB231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b/>
          <w:bCs/>
          <w:szCs w:val="32"/>
        </w:rPr>
      </w:pPr>
      <w:r>
        <w:rPr>
          <w:rFonts w:hint="default" w:ascii="Times New Roman" w:hAnsi="Times New Roman" w:eastAsia="黑体" w:cs="Times New Roman"/>
          <w:b/>
          <w:bCs/>
          <w:szCs w:val="32"/>
          <w:lang w:eastAsia="zh-CN"/>
        </w:rPr>
        <w:t>五、</w:t>
      </w:r>
      <w:r>
        <w:rPr>
          <w:rFonts w:hint="default" w:ascii="Times New Roman" w:hAnsi="Times New Roman" w:eastAsia="黑体" w:cs="Times New Roman"/>
          <w:b/>
          <w:bCs/>
          <w:szCs w:val="32"/>
        </w:rPr>
        <w:t>部门决算收支情况说明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（一）2018年度收入支出总体情况说明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本年度收入合计3563.32万元，较上年增加1641.16万元，增加的主要原因是移交新城后，保障经费增加。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本年支出合计3563.92万元，较上年增加1641.76万元，增加的主要原因是单位划转项目增加，人员增加。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基本支出1814.64万元，主要是个人部分支出以及保障机制机构正常运转、完成日常工作任务而发生的各项支出。其中：工资福利支出1631.03万元，日常公用经费支出176.82万元，对个人及家庭补助支出6.79万元。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 xml:space="preserve">项目支出1749.27万元，主要包括殡葬1万元，临时救助5万元，医疗卫生144.67万元，节能环保698.14万元，农业43.13万元，农村基础设施建设585.45万元，其它项目271.88万元。 </w:t>
      </w:r>
    </w:p>
    <w:p>
      <w:pPr>
        <w:keepNext w:val="0"/>
        <w:keepLines w:val="0"/>
        <w:pageBreakBefore w:val="0"/>
        <w:widowControl w:val="0"/>
        <w:kinsoku/>
        <w:wordWrap/>
        <w:overflowPunct/>
        <w:topLinePunct w:val="0"/>
        <w:autoSpaceDE/>
        <w:autoSpaceDN/>
        <w:bidi w:val="0"/>
        <w:adjustRightInd/>
        <w:spacing w:line="560" w:lineRule="exact"/>
        <w:ind w:firstLine="720" w:firstLineChars="225"/>
        <w:textAlignment w:val="auto"/>
        <w:rPr>
          <w:rFonts w:hint="default" w:ascii="Times New Roman" w:hAnsi="Times New Roman" w:eastAsia="仿宋" w:cs="Times New Roman"/>
          <w:szCs w:val="32"/>
        </w:rPr>
      </w:pPr>
      <w:r>
        <w:rPr>
          <w:rFonts w:hint="eastAsia" w:ascii="Times New Roman" w:hAnsi="Times New Roman" w:eastAsia="仿宋" w:cs="Times New Roman"/>
          <w:szCs w:val="32"/>
          <w:lang w:eastAsia="zh-CN"/>
        </w:rPr>
        <w:t>（二）</w:t>
      </w:r>
      <w:r>
        <w:rPr>
          <w:rFonts w:hint="default" w:ascii="Times New Roman" w:hAnsi="Times New Roman" w:eastAsia="仿宋" w:cs="Times New Roman"/>
          <w:szCs w:val="32"/>
        </w:rPr>
        <w:t>本年度收入构成情况。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2018年收入总合计3563.32万元，全部是财政拨款收入。其具体收入构成见下表：</w:t>
      </w:r>
    </w:p>
    <w:p>
      <w:pPr>
        <w:keepNext w:val="0"/>
        <w:keepLines w:val="0"/>
        <w:pageBreakBefore w:val="0"/>
        <w:widowControl w:val="0"/>
        <w:kinsoku/>
        <w:wordWrap/>
        <w:overflowPunct/>
        <w:topLinePunct w:val="0"/>
        <w:autoSpaceDE/>
        <w:autoSpaceDN/>
        <w:bidi w:val="0"/>
        <w:adjustRightInd/>
        <w:spacing w:line="560" w:lineRule="exact"/>
        <w:ind w:firstLine="720" w:firstLineChars="225"/>
        <w:textAlignment w:val="auto"/>
        <w:rPr>
          <w:rFonts w:hint="default" w:ascii="Times New Roman" w:hAnsi="Times New Roman" w:eastAsia="仿宋" w:cs="Times New Roman"/>
          <w:szCs w:val="32"/>
        </w:rPr>
      </w:pPr>
      <w:r>
        <w:rPr>
          <w:rFonts w:hint="eastAsia" w:ascii="Times New Roman" w:hAnsi="Times New Roman" w:eastAsia="仿宋" w:cs="Times New Roman"/>
          <w:szCs w:val="32"/>
          <w:lang w:eastAsia="zh-CN"/>
        </w:rPr>
        <w:t>（三）</w:t>
      </w:r>
      <w:r>
        <w:rPr>
          <w:rFonts w:hint="default" w:ascii="Times New Roman" w:hAnsi="Times New Roman" w:eastAsia="仿宋" w:cs="Times New Roman"/>
          <w:szCs w:val="32"/>
        </w:rPr>
        <w:t>本年度支出构成情况。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2018年收入总合计3563.32万元，全部是财政拨款收入。其具体收入构成见下表：</w:t>
      </w:r>
    </w:p>
    <w:p>
      <w:pPr>
        <w:keepNext w:val="0"/>
        <w:keepLines w:val="0"/>
        <w:pageBreakBefore w:val="0"/>
        <w:widowControl w:val="0"/>
        <w:kinsoku/>
        <w:wordWrap/>
        <w:overflowPunct/>
        <w:topLinePunct w:val="0"/>
        <w:autoSpaceDE/>
        <w:autoSpaceDN/>
        <w:bidi w:val="0"/>
        <w:adjustRightInd/>
        <w:spacing w:line="560" w:lineRule="exact"/>
        <w:ind w:firstLine="720" w:firstLineChars="225"/>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w:t>
      </w:r>
      <w:r>
        <w:rPr>
          <w:rFonts w:hint="eastAsia" w:ascii="Times New Roman" w:hAnsi="Times New Roman" w:eastAsia="仿宋" w:cs="Times New Roman"/>
          <w:szCs w:val="32"/>
          <w:lang w:eastAsia="zh-CN"/>
        </w:rPr>
        <w:t>四</w:t>
      </w:r>
      <w:r>
        <w:rPr>
          <w:rFonts w:hint="default" w:ascii="Times New Roman" w:hAnsi="Times New Roman" w:eastAsia="仿宋" w:cs="Times New Roman"/>
          <w:szCs w:val="32"/>
        </w:rPr>
        <w:t>）2018年度财政拨款收入支出总体情况说明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eastAsia" w:ascii="Times New Roman" w:hAnsi="Times New Roman" w:eastAsia="仿宋" w:cs="Times New Roman"/>
          <w:szCs w:val="32"/>
          <w:lang w:val="en-US" w:eastAsia="zh-CN"/>
        </w:rPr>
        <w:t>1.</w:t>
      </w:r>
      <w:r>
        <w:rPr>
          <w:rFonts w:hint="default" w:ascii="Times New Roman" w:hAnsi="Times New Roman" w:eastAsia="仿宋" w:cs="Times New Roman"/>
          <w:szCs w:val="32"/>
        </w:rPr>
        <w:t>本年收入合计3563.32万元，其中一般公共预算财政拨款3563.32万元，较上年增加1641.16万元。本年支出合计3563.92万元，其中一般公共预算财政拨款3563.92万元，较上年增加1641.76万元。增加的主要原因是单位划转项目增加，人员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2.</w:t>
      </w:r>
      <w:r>
        <w:rPr>
          <w:rFonts w:hint="default" w:ascii="Times New Roman" w:hAnsi="Times New Roman" w:eastAsia="仿宋_GB2312" w:cs="Times New Roman"/>
        </w:rPr>
        <w:t>一般公共预算财政拨款支出情况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一般公共预算财政拨款支出总计3563.92万元，具体构成见下表</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一般公共预算财政拨款基本支出决算情况。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人员支出1631.03万元，日常公用经费支出176.82万元，对个人及家庭补助支出6.79万元</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政府性基金财政拨款收支情况说明。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本部门无政府性基金决算收支，并已公开空表</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5.</w:t>
      </w:r>
      <w:r>
        <w:rPr>
          <w:rFonts w:hint="default" w:ascii="Times New Roman" w:hAnsi="Times New Roman" w:eastAsia="仿宋_GB2312" w:cs="Times New Roman"/>
        </w:rPr>
        <w:t>国有资本经营财政拨款收支情况说明。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本部门无国有资本经营决算收支</w:t>
      </w:r>
      <w:r>
        <w:rPr>
          <w:rFonts w:hint="default" w:ascii="Times New Roman" w:hAnsi="Times New Roman" w:eastAsia="仿宋_GB2312" w:cs="Times New Roman"/>
          <w:lang w:eastAsia="zh-CN"/>
        </w:rPr>
        <w:t>，</w:t>
      </w:r>
      <w:r>
        <w:rPr>
          <w:rFonts w:hint="default" w:ascii="Times New Roman" w:hAnsi="Times New Roman" w:eastAsia="仿宋_GB2312" w:cs="Times New Roman"/>
        </w:rPr>
        <w:t>并已公开空表</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w:t>
      </w:r>
      <w:r>
        <w:rPr>
          <w:rFonts w:hint="eastAsia" w:ascii="Times New Roman" w:hAnsi="Times New Roman" w:eastAsia="仿宋" w:cs="Times New Roman"/>
          <w:szCs w:val="32"/>
          <w:lang w:eastAsia="zh-CN"/>
        </w:rPr>
        <w:t>五</w:t>
      </w:r>
      <w:r>
        <w:rPr>
          <w:rFonts w:hint="default" w:ascii="Times New Roman" w:hAnsi="Times New Roman" w:eastAsia="仿宋" w:cs="Times New Roman"/>
          <w:szCs w:val="32"/>
        </w:rPr>
        <w:t>）2018年度“三公”经费、培训费及会议费支出情况说明</w:t>
      </w:r>
    </w:p>
    <w:p>
      <w:pPr>
        <w:keepNext w:val="0"/>
        <w:keepLines w:val="0"/>
        <w:pageBreakBefore w:val="0"/>
        <w:widowControl w:val="0"/>
        <w:kinsoku/>
        <w:wordWrap/>
        <w:overflowPunct/>
        <w:topLinePunct w:val="0"/>
        <w:autoSpaceDE/>
        <w:autoSpaceDN/>
        <w:bidi w:val="0"/>
        <w:adjustRightInd/>
        <w:spacing w:line="560" w:lineRule="exact"/>
        <w:ind w:firstLine="720" w:firstLineChars="225"/>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1.“三公”经费财政拨款支出总体情况说明。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2018 年度一般公共预算财政拨款安排的“三公”经费支出中，因公出国（境）费支出0万元，占“三公”经费的0%； 公务接待费支出0万元，占“三公”经费的0%；公务用车购置及运行费支出3万元，占“三公”经费的100%。具体情况如下: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因公出国（境）费支出0万元，比上年决算没有变化。全年使用一般公共预算财政拨款安排的出国（境）团组0个，累计0人次。公务接待费支0万元。其中:外事接待支出0万元，比上年决算没有变化。全年使用一般公共预算财政拨款安排的外事接待0批次，0人次。国内公务接待支出0 万元，比上年决算减少0.9万元。全年使用一般公共预算财政拨款安排的国内公务接待0批次，0 人次。</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公务用车购置及运行费支出0万元。其中:公务用车购置支出0万元，比上年决算无变化。本年度使用一般公共预算财政拨款购置公务用车0辆。公共用车运行维护费支出3万元，2018年使用一般公共预算财政拨款开支维护费的公务用车保有量1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2.培训费支出情况。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lang w:eastAsia="zh-CN"/>
        </w:rPr>
      </w:pPr>
      <w:r>
        <w:rPr>
          <w:rFonts w:hint="default" w:ascii="Times New Roman" w:hAnsi="Times New Roman" w:eastAsia="仿宋" w:cs="Times New Roman"/>
          <w:szCs w:val="32"/>
        </w:rPr>
        <w:t>2018年培训费0.6万元</w:t>
      </w:r>
      <w:r>
        <w:rPr>
          <w:rFonts w:hint="default" w:ascii="Times New Roman" w:hAnsi="Times New Roman" w:eastAsia="仿宋" w:cs="Times New Roman"/>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3.会议费支出情况。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lang w:eastAsia="zh-CN"/>
        </w:rPr>
      </w:pPr>
      <w:r>
        <w:rPr>
          <w:rFonts w:hint="default" w:ascii="Times New Roman" w:hAnsi="Times New Roman" w:eastAsia="仿宋" w:cs="Times New Roman"/>
          <w:szCs w:val="32"/>
        </w:rPr>
        <w:t>2018年无会议费支出</w:t>
      </w:r>
      <w:r>
        <w:rPr>
          <w:rFonts w:hint="default" w:ascii="Times New Roman" w:hAnsi="Times New Roman" w:eastAsia="仿宋" w:cs="Times New Roman"/>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六、2018年度部门绩效管理情况说明</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 w:cs="Times New Roman"/>
          <w:b w:val="0"/>
          <w:bCs w:val="0"/>
          <w:szCs w:val="32"/>
          <w:lang w:eastAsia="zh-CN"/>
        </w:rPr>
      </w:pPr>
      <w:r>
        <w:rPr>
          <w:rFonts w:hint="default" w:ascii="Times New Roman" w:hAnsi="Times New Roman" w:eastAsia="仿宋" w:cs="Times New Roman"/>
          <w:b w:val="0"/>
          <w:bCs w:val="0"/>
          <w:szCs w:val="32"/>
        </w:rPr>
        <w:t>本单位2018年预算批复时无自评项目</w:t>
      </w:r>
      <w:r>
        <w:rPr>
          <w:rFonts w:hint="default" w:ascii="Times New Roman" w:hAnsi="Times New Roman" w:eastAsia="仿宋" w:cs="Times New Roman"/>
          <w:b w:val="0"/>
          <w:bCs w:val="0"/>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szCs w:val="32"/>
        </w:rPr>
      </w:pPr>
      <w:bookmarkStart w:id="0" w:name="_MON_1630234820"/>
      <w:bookmarkEnd w:id="0"/>
      <w:r>
        <w:rPr>
          <w:rFonts w:hint="default" w:ascii="Times New Roman" w:hAnsi="Times New Roman" w:eastAsia="黑体" w:cs="Times New Roman"/>
          <w:b w:val="0"/>
          <w:bCs w:val="0"/>
          <w:szCs w:val="32"/>
        </w:rPr>
        <w:t>七、其他重要事项的情况说明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（一）机关运行经费支出情况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lang w:eastAsia="zh-CN"/>
        </w:rPr>
      </w:pPr>
      <w:r>
        <w:rPr>
          <w:rFonts w:hint="default" w:ascii="Times New Roman" w:hAnsi="Times New Roman" w:eastAsia="仿宋" w:cs="Times New Roman"/>
          <w:szCs w:val="32"/>
        </w:rPr>
        <w:t>2018年度机关运行经费支出176.82万元，较上年增加100.63万元，增长132.07％。主要原因是划转人员增加及日常事务增加</w:t>
      </w:r>
      <w:r>
        <w:rPr>
          <w:rFonts w:hint="default" w:ascii="Times New Roman" w:hAnsi="Times New Roman" w:eastAsia="仿宋" w:cs="Times New Roman"/>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（二）政府采购支出情况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Cs w:val="32"/>
          <w:lang w:eastAsia="zh-CN"/>
        </w:rPr>
      </w:pPr>
      <w:r>
        <w:rPr>
          <w:rFonts w:hint="default" w:ascii="Times New Roman" w:hAnsi="Times New Roman" w:eastAsia="仿宋" w:cs="Times New Roman"/>
          <w:szCs w:val="32"/>
        </w:rPr>
        <w:t>本部门2018年无政府采购支出</w:t>
      </w:r>
      <w:r>
        <w:rPr>
          <w:rFonts w:hint="default" w:ascii="Times New Roman" w:hAnsi="Times New Roman" w:eastAsia="仿宋" w:cs="Times New Roman"/>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（三）国有资产占用及购置情况说明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lang w:eastAsia="zh-CN"/>
        </w:rPr>
      </w:pPr>
      <w:r>
        <w:rPr>
          <w:rFonts w:hint="default" w:ascii="Times New Roman" w:hAnsi="Times New Roman" w:eastAsia="仿宋" w:cs="Times New Roman"/>
          <w:szCs w:val="32"/>
        </w:rPr>
        <w:t>截至2018年末，本部门所属单位共有车辆1辆；单价50万元以上的通用设备0台；单价100万元以上的通用设备0台。2018年当年购置车辆0辆；购置单价50万元以上的设备</w:t>
      </w:r>
      <w:r>
        <w:rPr>
          <w:rFonts w:hint="eastAsia" w:ascii="Times New Roman" w:hAnsi="Times New Roman" w:eastAsia="仿宋" w:cs="Times New Roman"/>
          <w:szCs w:val="32"/>
          <w:lang w:val="en-US" w:eastAsia="zh-CN"/>
        </w:rPr>
        <w:t>0</w:t>
      </w:r>
      <w:r>
        <w:rPr>
          <w:rFonts w:hint="default" w:ascii="Times New Roman" w:hAnsi="Times New Roman" w:eastAsia="仿宋" w:cs="Times New Roman"/>
          <w:szCs w:val="32"/>
        </w:rPr>
        <w:t>台：购置单价100万元以上的通用设备0台</w:t>
      </w:r>
      <w:r>
        <w:rPr>
          <w:rFonts w:hint="default" w:ascii="Times New Roman" w:hAnsi="Times New Roman" w:eastAsia="仿宋" w:cs="Times New Roman"/>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八、专业名词解释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1.基本支出：指为保障机构正常运转、完成日常工作任务而发生的各项支出。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2.项目支出：指单位为完成特定的行政工作任务或事业发展目标所发生的各项支出。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3.“三公”经费：指部门使用一般公共预算财政拨款安排的因公出国（境）费、公务用车购置及运行费和公务接待费支出。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4.财政拨款收入：指本级财政当年拨付的资金。</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 w:cs="Times New Roman"/>
          <w:szCs w:val="32"/>
        </w:rPr>
      </w:pPr>
      <w:r>
        <w:rPr>
          <w:rFonts w:hint="default" w:ascii="Times New Roman" w:hAnsi="Times New Roman" w:eastAsia="仿宋" w:cs="Times New Roman"/>
          <w:sz w:val="36"/>
          <w:szCs w:val="36"/>
        </w:rPr>
        <w:t xml:space="preserve">  </w:t>
      </w:r>
      <w:r>
        <w:rPr>
          <w:rFonts w:hint="default" w:ascii="Times New Roman" w:hAnsi="Times New Roman" w:eastAsia="仿宋" w:cs="Times New Roman"/>
          <w:szCs w:val="32"/>
        </w:rPr>
        <w:t xml:space="preserve">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3840" w:firstLineChars="1200"/>
        <w:jc w:val="both"/>
        <w:textAlignment w:val="auto"/>
        <w:outlineLvl w:val="9"/>
        <w:rPr>
          <w:rFonts w:hint="default" w:ascii="Times New Roman" w:hAnsi="Times New Roman" w:eastAsia="仿宋_GB2312" w:cs="Times New Roman"/>
          <w:sz w:val="32"/>
          <w:szCs w:val="32"/>
          <w:lang w:val="en-US" w:eastAsia="zh-CN"/>
        </w:rPr>
      </w:pPr>
      <w:bookmarkStart w:id="1" w:name="_GoBack"/>
      <w:bookmarkEnd w:id="1"/>
      <w:r>
        <w:rPr>
          <w:rFonts w:hint="default" w:ascii="Times New Roman" w:hAnsi="Times New Roman" w:eastAsia="仿宋_GB2312" w:cs="Times New Roman"/>
          <w:sz w:val="32"/>
          <w:szCs w:val="32"/>
          <w:lang w:val="en-US" w:eastAsia="zh-CN"/>
        </w:rPr>
        <w:t>空港新城</w:t>
      </w:r>
      <w:r>
        <w:rPr>
          <w:rFonts w:hint="eastAsia" w:ascii="Times New Roman" w:hAnsi="Times New Roman" w:eastAsia="仿宋_GB2312" w:cs="Times New Roman"/>
          <w:sz w:val="32"/>
          <w:szCs w:val="32"/>
          <w:lang w:val="en-US" w:eastAsia="zh-CN"/>
        </w:rPr>
        <w:t>底张街道办事处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320" w:firstLineChars="1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2019年9月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rPr>
      </w:pPr>
    </w:p>
    <w:sectPr>
      <w:headerReference r:id="rId3" w:type="default"/>
      <w:footerReference r:id="rId4" w:type="default"/>
      <w:pgSz w:w="11906" w:h="16838"/>
      <w:pgMar w:top="283" w:right="1800" w:bottom="28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69C94"/>
    <w:multiLevelType w:val="singleLevel"/>
    <w:tmpl w:val="67C69C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2444"/>
    <w:rsid w:val="00002291"/>
    <w:rsid w:val="000147F4"/>
    <w:rsid w:val="00014CE2"/>
    <w:rsid w:val="00036C1B"/>
    <w:rsid w:val="00077FB8"/>
    <w:rsid w:val="00081744"/>
    <w:rsid w:val="000A0A9C"/>
    <w:rsid w:val="000A35F8"/>
    <w:rsid w:val="000B5112"/>
    <w:rsid w:val="000C5CCD"/>
    <w:rsid w:val="000D60C8"/>
    <w:rsid w:val="000F7B1D"/>
    <w:rsid w:val="00100988"/>
    <w:rsid w:val="00103F04"/>
    <w:rsid w:val="00112DBA"/>
    <w:rsid w:val="00156476"/>
    <w:rsid w:val="0017256D"/>
    <w:rsid w:val="00195EA9"/>
    <w:rsid w:val="001A6489"/>
    <w:rsid w:val="001C56C6"/>
    <w:rsid w:val="00220A9C"/>
    <w:rsid w:val="0023130B"/>
    <w:rsid w:val="00231C71"/>
    <w:rsid w:val="0026049E"/>
    <w:rsid w:val="002875FD"/>
    <w:rsid w:val="002A1BF9"/>
    <w:rsid w:val="002E5974"/>
    <w:rsid w:val="00310266"/>
    <w:rsid w:val="003235EB"/>
    <w:rsid w:val="00366BF2"/>
    <w:rsid w:val="00377F3D"/>
    <w:rsid w:val="003A69BF"/>
    <w:rsid w:val="0040289D"/>
    <w:rsid w:val="004062ED"/>
    <w:rsid w:val="00423929"/>
    <w:rsid w:val="00452788"/>
    <w:rsid w:val="00470A5A"/>
    <w:rsid w:val="00472B72"/>
    <w:rsid w:val="00484E1C"/>
    <w:rsid w:val="004915AC"/>
    <w:rsid w:val="004973FF"/>
    <w:rsid w:val="004B11A8"/>
    <w:rsid w:val="004C0E18"/>
    <w:rsid w:val="004D4304"/>
    <w:rsid w:val="00501B14"/>
    <w:rsid w:val="00507AEC"/>
    <w:rsid w:val="00512914"/>
    <w:rsid w:val="00580418"/>
    <w:rsid w:val="005A6018"/>
    <w:rsid w:val="005C163A"/>
    <w:rsid w:val="005D6E3C"/>
    <w:rsid w:val="005F71B3"/>
    <w:rsid w:val="006043E1"/>
    <w:rsid w:val="006118C9"/>
    <w:rsid w:val="00633530"/>
    <w:rsid w:val="00644B8D"/>
    <w:rsid w:val="006B0D4F"/>
    <w:rsid w:val="007039F3"/>
    <w:rsid w:val="00736CD0"/>
    <w:rsid w:val="00801051"/>
    <w:rsid w:val="0081408F"/>
    <w:rsid w:val="008814E7"/>
    <w:rsid w:val="008A6566"/>
    <w:rsid w:val="008D1378"/>
    <w:rsid w:val="008E20B8"/>
    <w:rsid w:val="0096418A"/>
    <w:rsid w:val="0098715C"/>
    <w:rsid w:val="009871F8"/>
    <w:rsid w:val="009E35B0"/>
    <w:rsid w:val="009F16A1"/>
    <w:rsid w:val="00A46B83"/>
    <w:rsid w:val="00A6785C"/>
    <w:rsid w:val="00A80DE9"/>
    <w:rsid w:val="00AC6992"/>
    <w:rsid w:val="00AF4CBD"/>
    <w:rsid w:val="00B11C74"/>
    <w:rsid w:val="00B46BAA"/>
    <w:rsid w:val="00B474F3"/>
    <w:rsid w:val="00B47AD9"/>
    <w:rsid w:val="00B965AB"/>
    <w:rsid w:val="00B97CC0"/>
    <w:rsid w:val="00BC34A0"/>
    <w:rsid w:val="00BE6929"/>
    <w:rsid w:val="00BF4B36"/>
    <w:rsid w:val="00C172BA"/>
    <w:rsid w:val="00C63784"/>
    <w:rsid w:val="00C758EE"/>
    <w:rsid w:val="00C909C4"/>
    <w:rsid w:val="00CB5576"/>
    <w:rsid w:val="00CD6FB2"/>
    <w:rsid w:val="00CE524A"/>
    <w:rsid w:val="00D14029"/>
    <w:rsid w:val="00D17D3B"/>
    <w:rsid w:val="00D351FA"/>
    <w:rsid w:val="00D71D81"/>
    <w:rsid w:val="00D8272E"/>
    <w:rsid w:val="00DA1D63"/>
    <w:rsid w:val="00DA3DB8"/>
    <w:rsid w:val="00DB402E"/>
    <w:rsid w:val="00DC2EC3"/>
    <w:rsid w:val="00DE07CC"/>
    <w:rsid w:val="00E42D36"/>
    <w:rsid w:val="00E8186E"/>
    <w:rsid w:val="00E95B6F"/>
    <w:rsid w:val="00E96FA6"/>
    <w:rsid w:val="00EA277A"/>
    <w:rsid w:val="00EC6A84"/>
    <w:rsid w:val="00EF4A00"/>
    <w:rsid w:val="00F126DB"/>
    <w:rsid w:val="00F205EA"/>
    <w:rsid w:val="00F407AD"/>
    <w:rsid w:val="00F47BEA"/>
    <w:rsid w:val="00F6572A"/>
    <w:rsid w:val="00F80E1F"/>
    <w:rsid w:val="00FB35D5"/>
    <w:rsid w:val="00FB6199"/>
    <w:rsid w:val="00FD2654"/>
    <w:rsid w:val="01F67A4E"/>
    <w:rsid w:val="02B60B15"/>
    <w:rsid w:val="087B0DBA"/>
    <w:rsid w:val="09016473"/>
    <w:rsid w:val="092B4994"/>
    <w:rsid w:val="093942F6"/>
    <w:rsid w:val="095F5F03"/>
    <w:rsid w:val="0A49501D"/>
    <w:rsid w:val="0ABB2133"/>
    <w:rsid w:val="0ACC5265"/>
    <w:rsid w:val="0B556806"/>
    <w:rsid w:val="0B7F288D"/>
    <w:rsid w:val="0C5E25D5"/>
    <w:rsid w:val="0E0B1E8D"/>
    <w:rsid w:val="0E596D80"/>
    <w:rsid w:val="0EE74CF3"/>
    <w:rsid w:val="10E3449E"/>
    <w:rsid w:val="13DD5026"/>
    <w:rsid w:val="16D2566F"/>
    <w:rsid w:val="17FD5CFD"/>
    <w:rsid w:val="18163111"/>
    <w:rsid w:val="18717E72"/>
    <w:rsid w:val="19376C13"/>
    <w:rsid w:val="19445687"/>
    <w:rsid w:val="1B0E32B3"/>
    <w:rsid w:val="1BB302DD"/>
    <w:rsid w:val="1C7210BE"/>
    <w:rsid w:val="1E1B4B61"/>
    <w:rsid w:val="1F50031C"/>
    <w:rsid w:val="22EE1EAB"/>
    <w:rsid w:val="23E87041"/>
    <w:rsid w:val="269540B3"/>
    <w:rsid w:val="27F7597D"/>
    <w:rsid w:val="286C1021"/>
    <w:rsid w:val="28735948"/>
    <w:rsid w:val="2A624316"/>
    <w:rsid w:val="2A6D6D44"/>
    <w:rsid w:val="2B250DF0"/>
    <w:rsid w:val="2B864346"/>
    <w:rsid w:val="2CCB56B6"/>
    <w:rsid w:val="2ECA04B7"/>
    <w:rsid w:val="2F03271F"/>
    <w:rsid w:val="3013578F"/>
    <w:rsid w:val="30D417AC"/>
    <w:rsid w:val="31170BBB"/>
    <w:rsid w:val="31C958E5"/>
    <w:rsid w:val="31F4436E"/>
    <w:rsid w:val="329B0193"/>
    <w:rsid w:val="32F16150"/>
    <w:rsid w:val="32F44A09"/>
    <w:rsid w:val="34E24F31"/>
    <w:rsid w:val="35FB794F"/>
    <w:rsid w:val="37202C53"/>
    <w:rsid w:val="39272F6B"/>
    <w:rsid w:val="3B016849"/>
    <w:rsid w:val="3B7D44B1"/>
    <w:rsid w:val="3CCF6F5B"/>
    <w:rsid w:val="3DE915EB"/>
    <w:rsid w:val="3E3D7A8B"/>
    <w:rsid w:val="3F1D7A54"/>
    <w:rsid w:val="3F5D0090"/>
    <w:rsid w:val="403E1C0C"/>
    <w:rsid w:val="40C5481E"/>
    <w:rsid w:val="413D3AC5"/>
    <w:rsid w:val="41606A0F"/>
    <w:rsid w:val="431A0362"/>
    <w:rsid w:val="45197446"/>
    <w:rsid w:val="46FB06A3"/>
    <w:rsid w:val="47166C1A"/>
    <w:rsid w:val="47C30165"/>
    <w:rsid w:val="48DA6CD7"/>
    <w:rsid w:val="49CA551D"/>
    <w:rsid w:val="49CB142E"/>
    <w:rsid w:val="4A2F2B54"/>
    <w:rsid w:val="4B2D283C"/>
    <w:rsid w:val="4BDA4B48"/>
    <w:rsid w:val="4E4D6057"/>
    <w:rsid w:val="4FE30B43"/>
    <w:rsid w:val="512464F8"/>
    <w:rsid w:val="52BE21AE"/>
    <w:rsid w:val="52DB09CE"/>
    <w:rsid w:val="532B4997"/>
    <w:rsid w:val="54C172A3"/>
    <w:rsid w:val="55F82675"/>
    <w:rsid w:val="563C5F2A"/>
    <w:rsid w:val="599A1380"/>
    <w:rsid w:val="5C551539"/>
    <w:rsid w:val="5CB74A9E"/>
    <w:rsid w:val="5CED4AE7"/>
    <w:rsid w:val="5DEA5C4D"/>
    <w:rsid w:val="5E097DAC"/>
    <w:rsid w:val="5E492444"/>
    <w:rsid w:val="5E677FF0"/>
    <w:rsid w:val="5EAB332F"/>
    <w:rsid w:val="5FE72DB0"/>
    <w:rsid w:val="61041785"/>
    <w:rsid w:val="614854A7"/>
    <w:rsid w:val="61E95C0B"/>
    <w:rsid w:val="63384235"/>
    <w:rsid w:val="64EE179F"/>
    <w:rsid w:val="65003B35"/>
    <w:rsid w:val="65F813CD"/>
    <w:rsid w:val="68436A53"/>
    <w:rsid w:val="68E4588C"/>
    <w:rsid w:val="6A5443E3"/>
    <w:rsid w:val="6A747F7E"/>
    <w:rsid w:val="6B842382"/>
    <w:rsid w:val="6CF20192"/>
    <w:rsid w:val="6DC163E6"/>
    <w:rsid w:val="6E0A72E7"/>
    <w:rsid w:val="6EFC3188"/>
    <w:rsid w:val="6F44375E"/>
    <w:rsid w:val="710C2D14"/>
    <w:rsid w:val="72E91499"/>
    <w:rsid w:val="73603FC6"/>
    <w:rsid w:val="73B118FD"/>
    <w:rsid w:val="74820CAD"/>
    <w:rsid w:val="760A5F6B"/>
    <w:rsid w:val="79051F75"/>
    <w:rsid w:val="7B27766A"/>
    <w:rsid w:val="7CCE4EF4"/>
    <w:rsid w:val="7DE56D3A"/>
    <w:rsid w:val="7E0007C3"/>
    <w:rsid w:val="7E59326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rFonts w:cs="Times New Roman"/>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批注框文本 Char"/>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09"/>
          <c:y val="0.0514005540974045"/>
          <c:w val="0.725082458442695"/>
          <c:h val="0.431240157480315"/>
        </c:manualLayout>
      </c:layout>
      <c:barChart>
        <c:barDir val="col"/>
        <c:grouping val="clustered"/>
        <c:varyColors val="0"/>
        <c:ser>
          <c:idx val="0"/>
          <c:order val="0"/>
          <c:tx>
            <c:strRef>
              <c:f>Sheet1!$A$3</c:f>
              <c:strCache>
                <c:ptCount val="1"/>
                <c:pt idx="0">
                  <c:v>编制数</c:v>
                </c:pt>
              </c:strCache>
            </c:strRef>
          </c:tx>
          <c:invertIfNegative val="0"/>
          <c:dLbls>
            <c:delete val="1"/>
          </c:dLbls>
          <c:cat>
            <c:strRef>
              <c:f>Sheet1!$B$1:$D$2</c:f>
              <c:strCache>
                <c:ptCount val="3"/>
                <c:pt idx="0">
                  <c:v>行政</c:v>
                </c:pt>
                <c:pt idx="1">
                  <c:v>事业</c:v>
                </c:pt>
                <c:pt idx="2">
                  <c:v>单位管理的离退休人员</c:v>
                </c:pt>
              </c:strCache>
            </c:strRef>
          </c:cat>
          <c:val>
            <c:numRef>
              <c:f>Sheet1!$B$3:$D$3</c:f>
              <c:numCache>
                <c:formatCode>General</c:formatCode>
                <c:ptCount val="3"/>
                <c:pt idx="0">
                  <c:v>26</c:v>
                </c:pt>
                <c:pt idx="1">
                  <c:v>75</c:v>
                </c:pt>
                <c:pt idx="2">
                  <c:v>0</c:v>
                </c:pt>
              </c:numCache>
            </c:numRef>
          </c:val>
        </c:ser>
        <c:ser>
          <c:idx val="1"/>
          <c:order val="1"/>
          <c:tx>
            <c:strRef>
              <c:f>Sheet1!$A$4</c:f>
              <c:strCache>
                <c:ptCount val="1"/>
                <c:pt idx="0">
                  <c:v>在职</c:v>
                </c:pt>
              </c:strCache>
            </c:strRef>
          </c:tx>
          <c:invertIfNegative val="0"/>
          <c:dLbls>
            <c:delete val="1"/>
          </c:dLbls>
          <c:cat>
            <c:strRef>
              <c:f>Sheet1!$B$1:$D$2</c:f>
              <c:strCache>
                <c:ptCount val="3"/>
                <c:pt idx="0">
                  <c:v>行政</c:v>
                </c:pt>
                <c:pt idx="1">
                  <c:v>事业</c:v>
                </c:pt>
                <c:pt idx="2">
                  <c:v>单位管理的离退休人员</c:v>
                </c:pt>
              </c:strCache>
            </c:strRef>
          </c:cat>
          <c:val>
            <c:numRef>
              <c:f>Sheet1!$B$4:$D$4</c:f>
              <c:numCache>
                <c:formatCode>General</c:formatCode>
                <c:ptCount val="3"/>
                <c:pt idx="0">
                  <c:v>27</c:v>
                </c:pt>
                <c:pt idx="1">
                  <c:v>147</c:v>
                </c:pt>
                <c:pt idx="2">
                  <c:v>0</c:v>
                </c:pt>
              </c:numCache>
            </c:numRef>
          </c:val>
        </c:ser>
        <c:dLbls>
          <c:showLegendKey val="0"/>
          <c:showVal val="0"/>
          <c:showCatName val="0"/>
          <c:showSerName val="0"/>
          <c:showPercent val="0"/>
          <c:showBubbleSize val="0"/>
        </c:dLbls>
        <c:gapWidth val="150"/>
        <c:axId val="121330688"/>
        <c:axId val="122524416"/>
      </c:barChart>
      <c:catAx>
        <c:axId val="121330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524416"/>
        <c:crosses val="autoZero"/>
        <c:auto val="1"/>
        <c:lblAlgn val="ctr"/>
        <c:lblOffset val="100"/>
        <c:noMultiLvlLbl val="0"/>
      </c:catAx>
      <c:valAx>
        <c:axId val="1225244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3306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1507</Words>
  <Characters>8591</Characters>
  <Lines>71</Lines>
  <Paragraphs>20</Paragraphs>
  <TotalTime>1</TotalTime>
  <ScaleCrop>false</ScaleCrop>
  <LinksUpToDate>false</LinksUpToDate>
  <CharactersWithSpaces>10078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2018-01-17T10:25:00Z</dcterms:created>
  <dc:creator>郭超(拟稿)</dc:creator>
  <cp:lastModifiedBy>Bluer</cp:lastModifiedBy>
  <cp:lastPrinted>2019-09-17T06:27:00Z</cp:lastPrinted>
  <dcterms:modified xsi:type="dcterms:W3CDTF">2019-11-20T08:37:19Z</dcterms:modified>
  <dc:title>附件1</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