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西咸新区空港新城</w:t>
      </w:r>
      <w:r>
        <w:rPr>
          <w:rFonts w:hint="eastAsia" w:asciiTheme="majorEastAsia" w:hAnsiTheme="majorEastAsia" w:eastAsiaTheme="majorEastAsia" w:cstheme="majorEastAsia"/>
          <w:b/>
          <w:bCs/>
          <w:sz w:val="48"/>
          <w:szCs w:val="48"/>
          <w:lang w:eastAsia="zh-CN"/>
        </w:rPr>
        <w:t>规划建设</w:t>
      </w:r>
      <w:r>
        <w:rPr>
          <w:rFonts w:hint="eastAsia" w:asciiTheme="majorEastAsia" w:hAnsiTheme="majorEastAsia" w:eastAsiaTheme="majorEastAsia" w:cstheme="majorEastAsia"/>
          <w:b/>
          <w:bCs/>
          <w:sz w:val="48"/>
          <w:szCs w:val="48"/>
        </w:rPr>
        <w:t>文物局</w:t>
      </w:r>
    </w:p>
    <w:p>
      <w:pPr>
        <w:spacing w:line="560" w:lineRule="exact"/>
        <w:jc w:val="center"/>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rPr>
        <w:t>2019年度部门决算</w:t>
      </w:r>
      <w:r>
        <w:rPr>
          <w:rFonts w:hint="eastAsia" w:asciiTheme="majorEastAsia" w:hAnsiTheme="majorEastAsia" w:eastAsiaTheme="majorEastAsia" w:cstheme="majorEastAsia"/>
          <w:b/>
          <w:bCs/>
          <w:sz w:val="48"/>
          <w:szCs w:val="48"/>
          <w:lang w:val="en-US" w:eastAsia="zh-CN"/>
        </w:rPr>
        <w:t>公开说明</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Cs w:val="32"/>
        </w:rPr>
      </w:pPr>
    </w:p>
    <w:p>
      <w:pPr>
        <w:spacing w:line="400" w:lineRule="exact"/>
        <w:ind w:firstLine="2570" w:firstLineChars="800"/>
        <w:rPr>
          <w:rFonts w:asciiTheme="majorEastAsia" w:hAnsiTheme="majorEastAsia" w:eastAsiaTheme="majorEastAsia" w:cstheme="majorEastAsia"/>
          <w:b/>
          <w:bCs/>
          <w:szCs w:val="32"/>
        </w:rPr>
      </w:pPr>
    </w:p>
    <w:p>
      <w:pPr>
        <w:spacing w:line="400" w:lineRule="exact"/>
        <w:ind w:firstLine="2088" w:firstLineChars="650"/>
        <w:rPr>
          <w:rFonts w:hint="eastAsia" w:asciiTheme="minorEastAsia" w:hAnsiTheme="minorEastAsia" w:eastAsiaTheme="minorEastAsia" w:cstheme="minorEastAsia"/>
          <w:b/>
          <w:bCs/>
          <w:szCs w:val="32"/>
          <w:lang w:eastAsia="zh-CN"/>
        </w:rPr>
      </w:pPr>
      <w:r>
        <w:rPr>
          <w:rFonts w:hint="eastAsia" w:asciiTheme="minorEastAsia" w:hAnsiTheme="minorEastAsia" w:eastAsiaTheme="minorEastAsia" w:cstheme="minorEastAsia"/>
          <w:b/>
          <w:bCs/>
          <w:szCs w:val="32"/>
        </w:rPr>
        <w:t>保密审查情况：</w:t>
      </w:r>
      <w:r>
        <w:rPr>
          <w:rFonts w:hint="eastAsia" w:asciiTheme="minorEastAsia" w:hAnsiTheme="minorEastAsia" w:eastAsiaTheme="minorEastAsia" w:cstheme="minorEastAsia"/>
          <w:b/>
          <w:bCs/>
          <w:szCs w:val="32"/>
          <w:lang w:eastAsia="zh-CN"/>
        </w:rPr>
        <w:t>已审查</w:t>
      </w:r>
    </w:p>
    <w:p>
      <w:pPr>
        <w:spacing w:line="400" w:lineRule="exact"/>
        <w:jc w:val="center"/>
        <w:rPr>
          <w:rFonts w:asciiTheme="minorEastAsia" w:hAnsiTheme="minorEastAsia" w:eastAsiaTheme="minorEastAsia" w:cstheme="minorEastAsia"/>
          <w:b/>
          <w:bCs/>
          <w:szCs w:val="32"/>
        </w:rPr>
      </w:pPr>
    </w:p>
    <w:p>
      <w:pPr>
        <w:spacing w:line="400" w:lineRule="exact"/>
        <w:ind w:firstLine="2088" w:firstLineChars="650"/>
        <w:rPr>
          <w:rFonts w:hint="eastAsia" w:ascii="宋体" w:hAnsi="宋体" w:cs="宋体" w:eastAsiaTheme="minorEastAsia"/>
          <w:b/>
          <w:bCs/>
          <w:szCs w:val="32"/>
          <w:lang w:eastAsia="zh-CN"/>
        </w:rPr>
      </w:pPr>
      <w:r>
        <w:rPr>
          <w:rFonts w:hint="eastAsia" w:asciiTheme="minorEastAsia" w:hAnsiTheme="minorEastAsia" w:eastAsiaTheme="minorEastAsia" w:cstheme="minorEastAsia"/>
          <w:b/>
          <w:bCs/>
          <w:szCs w:val="32"/>
        </w:rPr>
        <w:t>部门主要负责人审签情况：</w:t>
      </w:r>
      <w:r>
        <w:rPr>
          <w:rFonts w:hint="eastAsia" w:asciiTheme="minorEastAsia" w:hAnsiTheme="minorEastAsia" w:eastAsiaTheme="minorEastAsia" w:cstheme="minorEastAsia"/>
          <w:b/>
          <w:bCs/>
          <w:szCs w:val="32"/>
          <w:lang w:eastAsia="zh-CN"/>
        </w:rPr>
        <w:t>已审签</w:t>
      </w:r>
    </w:p>
    <w:p>
      <w:pPr>
        <w:spacing w:line="400" w:lineRule="exact"/>
        <w:rPr>
          <w:rFonts w:ascii="宋体" w:hAnsi="宋体" w:cs="宋体"/>
          <w:b/>
          <w:bCs/>
          <w:szCs w:val="32"/>
        </w:rPr>
      </w:pPr>
      <w:r>
        <w:rPr>
          <w:rFonts w:hint="eastAsia" w:ascii="宋体" w:hAnsi="宋体" w:cs="宋体"/>
          <w:b/>
          <w:bCs/>
          <w:szCs w:val="32"/>
        </w:rPr>
        <w:t xml:space="preserve"> </w:t>
      </w:r>
      <w:r>
        <w:rPr>
          <w:rFonts w:ascii="宋体" w:hAnsi="宋体" w:cs="宋体"/>
          <w:b/>
          <w:bCs/>
          <w:szCs w:val="32"/>
        </w:rPr>
        <w:t xml:space="preserve">               </w:t>
      </w:r>
    </w:p>
    <w:p>
      <w:pPr>
        <w:spacing w:line="400" w:lineRule="exact"/>
        <w:rPr>
          <w:rFonts w:ascii="宋体" w:hAnsi="宋体" w:cs="宋体"/>
          <w:b/>
          <w:bCs/>
          <w:szCs w:val="32"/>
        </w:rPr>
      </w:pPr>
      <w:r>
        <w:rPr>
          <w:rFonts w:hint="eastAsia" w:ascii="宋体" w:hAnsi="宋体" w:cs="宋体"/>
          <w:b/>
          <w:bCs/>
          <w:szCs w:val="32"/>
        </w:rPr>
        <w:t xml:space="preserve"> </w:t>
      </w:r>
      <w:r>
        <w:rPr>
          <w:rFonts w:ascii="宋体" w:hAnsi="宋体" w:cs="宋体"/>
          <w:b/>
          <w:bCs/>
          <w:szCs w:val="32"/>
        </w:rPr>
        <w:t xml:space="preserve">               </w:t>
      </w:r>
    </w:p>
    <w:p>
      <w:pPr>
        <w:jc w:val="center"/>
        <w:rPr>
          <w:rFonts w:ascii="黑体" w:hAnsi="宋体" w:eastAsia="黑体"/>
          <w:b/>
          <w:color w:val="000000"/>
          <w:kern w:val="0"/>
          <w:sz w:val="56"/>
          <w:szCs w:val="56"/>
          <w:lang w:bidi="ar"/>
        </w:rPr>
      </w:pPr>
      <w:r>
        <w:rPr>
          <w:rFonts w:ascii="黑体" w:hAnsi="宋体" w:eastAsia="黑体"/>
          <w:b/>
          <w:color w:val="000000"/>
          <w:kern w:val="0"/>
          <w:sz w:val="56"/>
          <w:szCs w:val="56"/>
          <w:lang w:bidi="ar"/>
        </w:rPr>
        <w:br w:type="page"/>
      </w: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jc w:val="center"/>
        <w:rPr>
          <w:rFonts w:ascii="黑体" w:hAnsi="宋体" w:eastAsia="黑体"/>
          <w:bCs/>
          <w:color w:val="000000"/>
          <w:kern w:val="0"/>
          <w:sz w:val="36"/>
          <w:szCs w:val="36"/>
          <w:lang w:bidi="ar"/>
        </w:rPr>
      </w:pPr>
    </w:p>
    <w:p>
      <w:pPr>
        <w:widowControl/>
        <w:jc w:val="center"/>
      </w:pPr>
      <w:r>
        <w:rPr>
          <w:rFonts w:hint="eastAsia" w:ascii="黑体" w:hAnsi="宋体" w:eastAsia="黑体"/>
          <w:color w:val="000000"/>
          <w:kern w:val="0"/>
          <w:szCs w:val="32"/>
          <w:lang w:bidi="ar"/>
        </w:rPr>
        <w:t xml:space="preserve">第一部分 </w:t>
      </w:r>
      <w:r>
        <w:rPr>
          <w:rFonts w:ascii="黑体" w:hAnsi="宋体" w:eastAsia="黑体"/>
          <w:color w:val="000000"/>
          <w:kern w:val="0"/>
          <w:szCs w:val="32"/>
          <w:lang w:bidi="ar"/>
        </w:rPr>
        <w:t xml:space="preserve"> </w:t>
      </w:r>
      <w:r>
        <w:rPr>
          <w:rFonts w:hint="eastAsia" w:ascii="黑体" w:hAnsi="宋体" w:eastAsia="黑体"/>
          <w:color w:val="000000"/>
          <w:kern w:val="0"/>
          <w:szCs w:val="32"/>
          <w:lang w:bidi="ar"/>
        </w:rPr>
        <w:t>部门概况</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一、部门主要职责及内设机构</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二、部门决算单位构成</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三、部门人员情况</w:t>
      </w:r>
    </w:p>
    <w:p>
      <w:pPr>
        <w:widowControl/>
        <w:jc w:val="center"/>
      </w:pPr>
      <w:r>
        <w:rPr>
          <w:rFonts w:hint="eastAsia" w:ascii="黑体" w:hAnsi="宋体" w:eastAsia="黑体"/>
          <w:color w:val="000000"/>
          <w:kern w:val="0"/>
          <w:szCs w:val="32"/>
          <w:lang w:bidi="ar"/>
        </w:rPr>
        <w:t>第二部分  2019年度部门决算表</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一、收入支出决算总表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二、收入决算总表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三、支出决算总表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四、财政拨款收入支出决算总表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五、一般公共预算财政拨款支出决算表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七、一般公共预算财政拨款“三公”经费及会议费、培训费支出决算表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八、政府性基金预算财政拨款收入支出决算表</w:t>
      </w:r>
    </w:p>
    <w:p>
      <w:pPr>
        <w:widowControl/>
        <w:jc w:val="center"/>
      </w:pPr>
      <w:r>
        <w:rPr>
          <w:rFonts w:hint="eastAsia" w:ascii="黑体" w:hAnsi="宋体" w:eastAsia="黑体"/>
          <w:color w:val="000000"/>
          <w:kern w:val="0"/>
          <w:szCs w:val="32"/>
          <w:lang w:bidi="ar"/>
        </w:rPr>
        <w:t xml:space="preserve">第三部分 </w:t>
      </w:r>
      <w:r>
        <w:rPr>
          <w:rFonts w:ascii="黑体" w:hAnsi="宋体" w:eastAsia="黑体"/>
          <w:color w:val="000000"/>
          <w:kern w:val="0"/>
          <w:szCs w:val="32"/>
          <w:lang w:bidi="ar"/>
        </w:rPr>
        <w:t xml:space="preserve"> </w:t>
      </w:r>
      <w:r>
        <w:rPr>
          <w:rFonts w:hint="eastAsia" w:ascii="黑体" w:hAnsi="宋体" w:eastAsia="黑体"/>
          <w:color w:val="000000"/>
          <w:kern w:val="0"/>
          <w:szCs w:val="32"/>
          <w:lang w:bidi="ar"/>
        </w:rPr>
        <w:t>2019年度部门决算情况说明</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一、收入支出决算总体情况说明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二、收入决算情况说明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三、支出决算情况说明    </w:t>
      </w:r>
    </w:p>
    <w:p>
      <w:pPr>
        <w:widowControl/>
        <w:jc w:val="left"/>
        <w:rPr>
          <w:rFonts w:ascii="楷体" w:hAnsi="楷体" w:eastAsia="楷体" w:cs="楷体"/>
        </w:rPr>
      </w:pPr>
      <w:r>
        <w:rPr>
          <w:rFonts w:hint="eastAsia" w:ascii="仿宋" w:hAnsi="仿宋" w:eastAsia="仿宋" w:cs="楷体"/>
          <w:color w:val="000000"/>
          <w:kern w:val="0"/>
          <w:szCs w:val="32"/>
          <w:lang w:bidi="ar"/>
        </w:rPr>
        <w:t xml:space="preserve">四、财政拨款收入支出决算总体情况说明   </w:t>
      </w:r>
      <w:r>
        <w:rPr>
          <w:rFonts w:hint="eastAsia" w:ascii="楷体" w:hAnsi="楷体" w:eastAsia="楷体" w:cs="楷体"/>
          <w:color w:val="000000"/>
          <w:kern w:val="0"/>
          <w:szCs w:val="32"/>
          <w:lang w:bidi="ar"/>
        </w:rPr>
        <w:t xml:space="preserve">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五、一般公共预算财政拨款支出决算情况说明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（一）财政拨款支出决算总体情况说明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（二）财政拨款支出决算具体情况说明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六、一般公共预算财政拨款基本支出决算情况说明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七、一般公共预算财政拨款“三公”经费及会议费、培训费支出决算情况说明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（一）“三公”经费财政拨款支出决算总体情况说明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（二）“三公”经费财政拨款支出决算具体情况说明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（三）培训费支出情况说明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（四）会议费支出情况说明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八、政府性基金预算财政拨款收入支出情况说明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九、国有资本经营财政拨款收入支出情况说明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十、预算绩效情况说明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（一）预算绩效管理工作开展情况说明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（二）部门决算中项目绩效自评结果</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（三）部门决算中整体支出绩效自评结果</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 十一、其他重要事项说明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（一）机关运行经费支出情况说明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（二）政府采购支出情况说明 </w:t>
      </w:r>
    </w:p>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bidi="ar"/>
        </w:rPr>
        <w:t xml:space="preserve">（三）国有资产占用及购置情况说明 </w:t>
      </w:r>
    </w:p>
    <w:p>
      <w:pPr>
        <w:jc w:val="center"/>
        <w:rPr>
          <w:rFonts w:ascii="黑体" w:hAnsi="宋体" w:eastAsia="黑体"/>
          <w:color w:val="000000"/>
          <w:kern w:val="0"/>
          <w:szCs w:val="32"/>
          <w:lang w:bidi="ar"/>
        </w:rPr>
      </w:pPr>
      <w:r>
        <w:rPr>
          <w:rFonts w:hint="eastAsia" w:ascii="黑体" w:hAnsi="宋体" w:eastAsia="黑体"/>
          <w:color w:val="000000"/>
          <w:kern w:val="0"/>
          <w:szCs w:val="32"/>
          <w:lang w:bidi="ar"/>
        </w:rPr>
        <w:t>第四部分 专业名词解释</w:t>
      </w:r>
    </w:p>
    <w:p>
      <w:pPr>
        <w:rPr>
          <w:rFonts w:ascii="黑体" w:hAnsi="宋体" w:eastAsia="黑体"/>
          <w:color w:val="000000"/>
          <w:kern w:val="0"/>
          <w:szCs w:val="32"/>
          <w:lang w:bidi="ar"/>
        </w:rPr>
      </w:pPr>
    </w:p>
    <w:p>
      <w:pPr>
        <w:jc w:val="center"/>
        <w:rPr>
          <w:rFonts w:ascii="黑体" w:hAnsi="宋体" w:eastAsia="黑体"/>
          <w:color w:val="000000"/>
          <w:kern w:val="0"/>
          <w:sz w:val="44"/>
          <w:szCs w:val="44"/>
          <w:lang w:bidi="ar"/>
        </w:rPr>
      </w:pPr>
    </w:p>
    <w:p>
      <w:pPr>
        <w:numPr>
          <w:ilvl w:val="0"/>
          <w:numId w:val="1"/>
        </w:numPr>
        <w:jc w:val="center"/>
        <w:rPr>
          <w:rFonts w:ascii="黑体" w:hAnsi="宋体" w:eastAsia="黑体"/>
          <w:color w:val="000000"/>
          <w:kern w:val="0"/>
          <w:sz w:val="44"/>
          <w:szCs w:val="44"/>
          <w:lang w:bidi="ar"/>
        </w:rPr>
      </w:pPr>
      <w:r>
        <w:rPr>
          <w:rFonts w:hint="eastAsia" w:ascii="黑体" w:hAnsi="宋体" w:eastAsia="黑体"/>
          <w:color w:val="000000"/>
          <w:kern w:val="0"/>
          <w:sz w:val="44"/>
          <w:szCs w:val="44"/>
          <w:lang w:bidi="ar"/>
        </w:rPr>
        <w:t>部门</w:t>
      </w:r>
      <w:r>
        <w:rPr>
          <w:rFonts w:ascii="黑体" w:hAnsi="宋体" w:eastAsia="黑体"/>
          <w:color w:val="000000"/>
          <w:kern w:val="0"/>
          <w:sz w:val="44"/>
          <w:szCs w:val="44"/>
          <w:lang w:bidi="ar"/>
        </w:rPr>
        <w:t>概况</w:t>
      </w:r>
    </w:p>
    <w:p>
      <w:pPr>
        <w:rPr>
          <w:rFonts w:ascii="黑体" w:hAnsi="宋体" w:eastAsia="黑体"/>
          <w:color w:val="000000"/>
          <w:kern w:val="0"/>
          <w:sz w:val="44"/>
          <w:szCs w:val="44"/>
          <w:lang w:bidi="ar"/>
        </w:rPr>
      </w:pPr>
    </w:p>
    <w:p>
      <w:pPr>
        <w:widowControl/>
        <w:ind w:firstLine="640" w:firstLineChars="200"/>
        <w:jc w:val="left"/>
        <w:rPr>
          <w:rFonts w:ascii="黑体" w:hAnsi="宋体" w:eastAsia="黑体"/>
          <w:color w:val="000000"/>
          <w:kern w:val="0"/>
          <w:szCs w:val="32"/>
          <w:lang w:bidi="ar"/>
        </w:rPr>
      </w:pPr>
      <w:r>
        <w:rPr>
          <w:rFonts w:hint="eastAsia" w:ascii="黑体" w:hAnsi="宋体" w:eastAsia="黑体"/>
          <w:color w:val="000000"/>
          <w:kern w:val="0"/>
          <w:szCs w:val="32"/>
          <w:lang w:bidi="ar"/>
        </w:rPr>
        <w:t>一、部门主要职责及内设机构</w:t>
      </w:r>
    </w:p>
    <w:p>
      <w:pPr>
        <w:widowControl/>
        <w:ind w:firstLine="643" w:firstLineChars="200"/>
        <w:jc w:val="left"/>
        <w:rPr>
          <w:rFonts w:ascii="楷体" w:hAnsi="楷体" w:eastAsia="楷体" w:cs="楷体"/>
          <w:b/>
          <w:bCs/>
          <w:color w:val="000000"/>
          <w:kern w:val="0"/>
          <w:szCs w:val="32"/>
          <w:lang w:bidi="ar"/>
        </w:rPr>
      </w:pPr>
      <w:r>
        <w:rPr>
          <w:rFonts w:hint="eastAsia" w:ascii="楷体" w:hAnsi="楷体" w:eastAsia="楷体" w:cs="楷体"/>
          <w:b/>
          <w:bCs/>
          <w:color w:val="000000"/>
          <w:kern w:val="0"/>
          <w:szCs w:val="32"/>
          <w:lang w:bidi="ar"/>
        </w:rPr>
        <w:t>（一）主要职责</w:t>
      </w:r>
    </w:p>
    <w:p>
      <w:pPr>
        <w:widowControl/>
        <w:spacing w:line="560" w:lineRule="exact"/>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（一）贯彻落实国家、省市关于文物保护工作的法律、法规和规章制度；</w:t>
      </w:r>
    </w:p>
    <w:p>
      <w:pPr>
        <w:widowControl/>
        <w:spacing w:line="560" w:lineRule="exact"/>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（二）负责空港新城范围内文物古迹、文化遗址的推荐、公布和文物保护单位的申报工作；</w:t>
      </w:r>
    </w:p>
    <w:p>
      <w:pPr>
        <w:widowControl/>
        <w:spacing w:line="560" w:lineRule="exact"/>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（三）负责辖区内文物征集、追剿、征购、管理、文物收藏保护和管理工作；</w:t>
      </w:r>
    </w:p>
    <w:p>
      <w:pPr>
        <w:widowControl/>
        <w:spacing w:line="560" w:lineRule="exact"/>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（四）监管与服务辖区内违法施工项目，组织实施无级别文物鉴定评审工作；</w:t>
      </w:r>
    </w:p>
    <w:p>
      <w:pPr>
        <w:widowControl/>
        <w:spacing w:line="560" w:lineRule="exact"/>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（五）宣传教育辖区内群众保护文物相关法律、法规等知识。</w:t>
      </w:r>
    </w:p>
    <w:p>
      <w:pPr>
        <w:widowControl/>
        <w:ind w:firstLine="643" w:firstLineChars="200"/>
        <w:jc w:val="left"/>
        <w:rPr>
          <w:rFonts w:ascii="楷体" w:hAnsi="楷体" w:eastAsia="楷体" w:cs="楷体"/>
          <w:b/>
          <w:bCs/>
          <w:color w:val="000000"/>
          <w:kern w:val="0"/>
          <w:szCs w:val="32"/>
          <w:lang w:bidi="ar"/>
        </w:rPr>
      </w:pPr>
      <w:r>
        <w:rPr>
          <w:rFonts w:hint="eastAsia" w:ascii="楷体" w:hAnsi="楷体" w:eastAsia="楷体" w:cs="楷体"/>
          <w:b/>
          <w:bCs/>
          <w:color w:val="000000"/>
          <w:kern w:val="0"/>
          <w:szCs w:val="32"/>
          <w:lang w:bidi="ar"/>
        </w:rPr>
        <w:t>（二）内设机构</w:t>
      </w:r>
    </w:p>
    <w:p>
      <w:pPr>
        <w:widowControl/>
        <w:ind w:firstLine="640" w:firstLineChars="200"/>
        <w:jc w:val="left"/>
      </w:pPr>
      <w:r>
        <w:rPr>
          <w:rFonts w:ascii="黑体" w:hAnsi="宋体" w:eastAsia="黑体"/>
          <w:color w:val="000000"/>
          <w:kern w:val="0"/>
          <w:szCs w:val="32"/>
          <w:lang w:bidi="ar"/>
        </w:rPr>
        <w:t>二、</w:t>
      </w:r>
      <w:r>
        <w:rPr>
          <w:rFonts w:hint="eastAsia" w:ascii="黑体" w:hAnsi="宋体" w:eastAsia="黑体"/>
          <w:color w:val="000000"/>
          <w:kern w:val="0"/>
          <w:szCs w:val="32"/>
          <w:lang w:bidi="ar"/>
        </w:rPr>
        <w:t>部门决算单位构成</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示例：纳入2019年度本部门决算编制范围的单位共2个，包括本级及所属2个</w:t>
      </w:r>
      <w:r>
        <w:rPr>
          <w:rFonts w:ascii="仿宋_GB2312" w:hAnsi="仿宋_GB2312" w:eastAsia="仿宋_GB2312" w:cs="仿宋_GB2312"/>
          <w:color w:val="000000"/>
          <w:kern w:val="0"/>
          <w:sz w:val="31"/>
          <w:szCs w:val="31"/>
          <w:lang w:bidi="ar"/>
        </w:rPr>
        <w:t>二级预算</w:t>
      </w:r>
      <w:r>
        <w:rPr>
          <w:rFonts w:hint="eastAsia" w:ascii="仿宋_GB2312" w:hAnsi="仿宋_GB2312" w:eastAsia="仿宋_GB2312" w:cs="仿宋_GB2312"/>
          <w:szCs w:val="32"/>
        </w:rPr>
        <w:t>单位：</w:t>
      </w:r>
    </w:p>
    <w:tbl>
      <w:tblPr>
        <w:tblStyle w:val="8"/>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Cs w:val="32"/>
              </w:rPr>
            </w:pPr>
            <w:r>
              <w:rPr>
                <w:rFonts w:hint="eastAsia" w:ascii="黑体" w:hAnsi="黑体" w:eastAsia="黑体"/>
                <w:szCs w:val="32"/>
              </w:rPr>
              <w:t>序号</w:t>
            </w:r>
          </w:p>
        </w:tc>
        <w:tc>
          <w:tcPr>
            <w:tcW w:w="7278" w:type="dxa"/>
            <w:vAlign w:val="center"/>
          </w:tcPr>
          <w:p>
            <w:pPr>
              <w:jc w:val="center"/>
              <w:rPr>
                <w:rFonts w:ascii="黑体" w:hAnsi="黑体" w:eastAsia="黑体"/>
                <w:szCs w:val="32"/>
              </w:rPr>
            </w:pPr>
            <w:r>
              <w:rPr>
                <w:rFonts w:hint="eastAsia" w:ascii="黑体" w:hAnsi="黑体" w:eastAsia="黑体"/>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Cs w:val="32"/>
              </w:rPr>
            </w:pPr>
            <w:r>
              <w:rPr>
                <w:rFonts w:hint="eastAsia" w:ascii="仿宋_GB2312" w:hAnsi="仿宋_GB2312" w:eastAsia="仿宋_GB2312" w:cs="仿宋_GB2312"/>
                <w:szCs w:val="32"/>
              </w:rPr>
              <w:t>1</w:t>
            </w:r>
          </w:p>
        </w:tc>
        <w:tc>
          <w:tcPr>
            <w:tcW w:w="7278" w:type="dxa"/>
            <w:vAlign w:val="center"/>
          </w:tcPr>
          <w:p>
            <w:pPr>
              <w:jc w:val="center"/>
              <w:rPr>
                <w:rFonts w:ascii="仿宋_GB2312" w:hAnsi="仿宋_GB2312" w:eastAsia="仿宋_GB2312" w:cs="仿宋_GB2312"/>
                <w:szCs w:val="32"/>
              </w:rPr>
            </w:pPr>
            <w:r>
              <w:rPr>
                <w:rFonts w:hint="eastAsia" w:ascii="仿宋_GB2312" w:hAnsi="仿宋_GB2312" w:eastAsia="仿宋_GB2312" w:cs="仿宋_GB2312"/>
                <w:b/>
                <w:bCs/>
                <w:szCs w:val="32"/>
              </w:rPr>
              <w:t>西咸新区空港新城规划建设文物局（汇总）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Cs w:val="32"/>
              </w:rPr>
            </w:pPr>
            <w:r>
              <w:rPr>
                <w:rFonts w:hint="eastAsia" w:ascii="仿宋_GB2312" w:hAnsi="仿宋_GB2312" w:eastAsia="仿宋_GB2312" w:cs="仿宋_GB2312"/>
                <w:szCs w:val="32"/>
              </w:rPr>
              <w:t>2</w:t>
            </w:r>
          </w:p>
        </w:tc>
        <w:tc>
          <w:tcPr>
            <w:tcW w:w="7278" w:type="dxa"/>
          </w:tcPr>
          <w:p>
            <w:pPr>
              <w:widowControl/>
              <w:jc w:val="left"/>
              <w:rPr>
                <w:rFonts w:hint="default" w:ascii="仿宋" w:hAnsi="仿宋" w:eastAsia="仿宋" w:cs="楷体"/>
                <w:color w:val="000000"/>
                <w:kern w:val="0"/>
                <w:szCs w:val="32"/>
                <w:lang w:val="en-US" w:eastAsia="zh-CN" w:bidi="ar"/>
              </w:rPr>
            </w:pPr>
            <w:r>
              <w:rPr>
                <w:rFonts w:hint="eastAsia" w:ascii="仿宋" w:hAnsi="仿宋" w:eastAsia="仿宋" w:cs="楷体"/>
                <w:color w:val="000000"/>
                <w:kern w:val="0"/>
                <w:szCs w:val="32"/>
                <w:lang w:val="en-US" w:eastAsia="zh-CN" w:bidi="ar"/>
              </w:rPr>
              <w:t>咸阳市渭城区顺陵文物管理所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Cs w:val="32"/>
              </w:rPr>
            </w:pPr>
            <w:r>
              <w:rPr>
                <w:rFonts w:hint="eastAsia" w:ascii="仿宋_GB2312" w:hAnsi="仿宋_GB2312" w:eastAsia="仿宋_GB2312" w:cs="仿宋_GB2312"/>
                <w:szCs w:val="32"/>
              </w:rPr>
              <w:t>3</w:t>
            </w:r>
          </w:p>
        </w:tc>
        <w:tc>
          <w:tcPr>
            <w:tcW w:w="7278" w:type="dxa"/>
          </w:tcPr>
          <w:p>
            <w:pPr>
              <w:widowControl/>
              <w:jc w:val="left"/>
              <w:rPr>
                <w:rFonts w:ascii="仿宋" w:hAnsi="仿宋" w:eastAsia="仿宋" w:cs="楷体"/>
                <w:color w:val="000000"/>
                <w:kern w:val="0"/>
                <w:szCs w:val="32"/>
                <w:lang w:bidi="ar"/>
              </w:rPr>
            </w:pPr>
            <w:r>
              <w:rPr>
                <w:rFonts w:hint="eastAsia" w:ascii="仿宋" w:hAnsi="仿宋" w:eastAsia="仿宋" w:cs="楷体"/>
                <w:color w:val="000000"/>
                <w:kern w:val="0"/>
                <w:szCs w:val="32"/>
                <w:lang w:val="en-US" w:eastAsia="zh-CN" w:bidi="ar"/>
              </w:rPr>
              <w:t>咸阳市渭城区北杜文物管理所</w:t>
            </w:r>
          </w:p>
        </w:tc>
      </w:tr>
    </w:tbl>
    <w:p>
      <w:pPr>
        <w:ind w:firstLine="640"/>
        <w:rPr>
          <w:rFonts w:hint="eastAsia" w:ascii="黑体" w:hAnsi="黑体" w:eastAsia="黑体"/>
          <w:b/>
          <w:bCs/>
          <w:szCs w:val="32"/>
        </w:rPr>
      </w:pPr>
    </w:p>
    <w:p>
      <w:pPr>
        <w:ind w:firstLine="640"/>
        <w:rPr>
          <w:rFonts w:ascii="黑体" w:hAnsi="黑体" w:eastAsia="黑体"/>
          <w:b/>
          <w:bCs/>
          <w:szCs w:val="32"/>
        </w:rPr>
      </w:pPr>
      <w:r>
        <w:rPr>
          <w:rFonts w:hint="eastAsia" w:ascii="黑体" w:hAnsi="黑体" w:eastAsia="黑体"/>
          <w:b/>
          <w:bCs/>
          <w:szCs w:val="32"/>
        </w:rPr>
        <w:t>三、部门人员情况</w:t>
      </w:r>
    </w:p>
    <w:p>
      <w:pPr>
        <w:widowControl/>
        <w:ind w:firstLine="640" w:firstLineChars="200"/>
        <w:jc w:val="left"/>
        <w:rPr>
          <w:rFonts w:hint="eastAsia" w:ascii="仿宋" w:hAnsi="仿宋" w:eastAsia="仿宋" w:cs="楷体"/>
          <w:color w:val="000000"/>
          <w:kern w:val="0"/>
          <w:szCs w:val="32"/>
          <w:lang w:bidi="ar"/>
        </w:rPr>
      </w:pPr>
      <w:r>
        <w:rPr>
          <w:rFonts w:hint="eastAsia" w:ascii="仿宋" w:hAnsi="仿宋" w:eastAsia="仿宋" w:cs="楷体"/>
          <w:color w:val="000000"/>
          <w:kern w:val="0"/>
          <w:szCs w:val="32"/>
          <w:lang w:bidi="ar"/>
        </w:rPr>
        <w:t>截止2019年底，顺陵文管所实有人员12人，其中行政0人、事业12人；北杜文管所实有人员9人，其中行政0人、事业9人。实有人员共计21人，其中行政0人、事业21人；单位管理的离退休人员0人。</w:t>
      </w:r>
    </w:p>
    <w:p>
      <w:pPr>
        <w:widowControl/>
        <w:ind w:firstLine="640" w:firstLineChars="200"/>
        <w:jc w:val="center"/>
        <w:rPr>
          <w:rFonts w:hint="default" w:ascii="仿宋" w:hAnsi="仿宋" w:eastAsia="仿宋" w:cs="楷体"/>
          <w:color w:val="000000"/>
          <w:kern w:val="0"/>
          <w:szCs w:val="32"/>
          <w:lang w:val="en-US" w:eastAsia="zh-CN" w:bidi="ar"/>
        </w:rPr>
      </w:pPr>
      <w:r>
        <w:rPr>
          <w:rFonts w:hint="eastAsia" w:ascii="仿宋" w:hAnsi="仿宋" w:eastAsia="仿宋" w:cs="楷体"/>
          <w:color w:val="000000"/>
          <w:kern w:val="0"/>
          <w:szCs w:val="32"/>
          <w:lang w:val="en-US" w:eastAsia="zh-CN" w:bidi="ar"/>
        </w:rPr>
        <w:t xml:space="preserve">人员情况分布表       </w:t>
      </w:r>
      <w:r>
        <w:rPr>
          <w:rFonts w:hint="eastAsia" w:ascii="仿宋" w:hAnsi="仿宋" w:eastAsia="仿宋" w:cs="楷体"/>
          <w:color w:val="000000"/>
          <w:kern w:val="0"/>
          <w:sz w:val="24"/>
          <w:szCs w:val="24"/>
          <w:lang w:val="en-US" w:eastAsia="zh-CN" w:bidi="ar"/>
        </w:rPr>
        <w:t>单位：个</w:t>
      </w:r>
    </w:p>
    <w:p>
      <w:pPr>
        <w:pStyle w:val="2"/>
        <w:bidi w:val="0"/>
        <w:rPr>
          <w:rFonts w:hint="eastAsia" w:ascii="黑体" w:hAnsi="宋体" w:eastAsia="黑体"/>
          <w:color w:val="000000"/>
          <w:kern w:val="0"/>
          <w:sz w:val="44"/>
          <w:szCs w:val="44"/>
          <w:lang w:bidi="ar"/>
        </w:rPr>
      </w:pPr>
      <w:r>
        <w:drawing>
          <wp:inline distT="0" distB="0" distL="0" distR="0">
            <wp:extent cx="4572000" cy="3096895"/>
            <wp:effectExtent l="0" t="0" r="0" b="1905"/>
            <wp:docPr id="1" name="图表 1" title="人员情况表"/>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widowControl/>
        <w:ind w:firstLine="880" w:firstLineChars="200"/>
        <w:jc w:val="both"/>
        <w:rPr>
          <w:sz w:val="44"/>
          <w:szCs w:val="44"/>
        </w:rPr>
      </w:pPr>
      <w:r>
        <w:rPr>
          <w:rFonts w:ascii="黑体" w:hAnsi="宋体" w:eastAsia="黑体"/>
          <w:color w:val="000000"/>
          <w:kern w:val="0"/>
          <w:sz w:val="44"/>
          <w:szCs w:val="44"/>
          <w:lang w:bidi="ar"/>
        </w:rPr>
        <w:t>第二部分 2019年度部门决算表</w:t>
      </w:r>
    </w:p>
    <w:p>
      <w:pPr>
        <w:widowControl/>
        <w:ind w:firstLine="640" w:firstLineChars="200"/>
        <w:jc w:val="left"/>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详见部门决算公开表</w:t>
      </w:r>
    </w:p>
    <w:p>
      <w:pPr>
        <w:ind w:firstLine="880" w:firstLineChars="200"/>
        <w:jc w:val="both"/>
        <w:rPr>
          <w:rFonts w:ascii="黑体" w:hAnsi="宋体" w:eastAsia="黑体"/>
          <w:color w:val="000000"/>
          <w:kern w:val="0"/>
          <w:sz w:val="44"/>
          <w:szCs w:val="44"/>
          <w:lang w:bidi="ar"/>
        </w:rPr>
      </w:pPr>
      <w:r>
        <w:rPr>
          <w:rFonts w:hint="eastAsia" w:ascii="黑体" w:hAnsi="宋体" w:eastAsia="黑体"/>
          <w:color w:val="000000"/>
          <w:kern w:val="0"/>
          <w:sz w:val="44"/>
          <w:szCs w:val="44"/>
          <w:lang w:bidi="ar"/>
        </w:rPr>
        <w:t>第三部分 2019年度部门决算情况说明</w:t>
      </w:r>
    </w:p>
    <w:p>
      <w:pPr>
        <w:widowControl/>
        <w:ind w:firstLine="640" w:firstLineChars="200"/>
        <w:jc w:val="left"/>
        <w:rPr>
          <w:rFonts w:ascii="黑体" w:hAnsi="黑体" w:eastAsia="黑体"/>
          <w:color w:val="000000"/>
          <w:kern w:val="0"/>
          <w:szCs w:val="32"/>
          <w:lang w:bidi="ar"/>
        </w:rPr>
      </w:pPr>
      <w:r>
        <w:rPr>
          <w:rFonts w:hint="eastAsia" w:ascii="黑体" w:hAnsi="黑体" w:eastAsia="黑体"/>
          <w:color w:val="000000"/>
          <w:kern w:val="0"/>
          <w:szCs w:val="32"/>
          <w:lang w:bidi="ar"/>
        </w:rPr>
        <w:t xml:space="preserve">一、收入支出决算总体情况说明 </w:t>
      </w:r>
    </w:p>
    <w:p>
      <w:pPr>
        <w:widowControl/>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1.本年度收入构成情况。</w:t>
      </w:r>
    </w:p>
    <w:p>
      <w:pPr>
        <w:widowControl/>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2019 年度本年收入合计304.92 万元。其中：财政拨款 304.48万元，占总收入的99.</w:t>
      </w:r>
      <w:r>
        <w:rPr>
          <w:rFonts w:hint="eastAsia" w:ascii="仿宋_GB2312" w:hAnsi="仿宋_GB2312" w:eastAsia="仿宋_GB2312" w:cs="仿宋_GB2312"/>
          <w:szCs w:val="32"/>
          <w:lang w:val="en-US" w:eastAsia="zh-CN"/>
        </w:rPr>
        <w:t>86</w:t>
      </w:r>
      <w:r>
        <w:rPr>
          <w:rFonts w:hint="eastAsia" w:ascii="仿宋_GB2312" w:hAnsi="仿宋_GB2312" w:eastAsia="仿宋_GB2312" w:cs="仿宋_GB2312"/>
          <w:szCs w:val="32"/>
        </w:rPr>
        <w:t>%，其他收入——利息</w:t>
      </w:r>
      <w:r>
        <w:rPr>
          <w:rFonts w:hint="eastAsia" w:ascii="仿宋_GB2312" w:hAnsi="仿宋_GB2312" w:eastAsia="仿宋_GB2312" w:cs="仿宋_GB2312"/>
          <w:szCs w:val="32"/>
          <w:lang w:val="en-US" w:eastAsia="zh-CN"/>
        </w:rPr>
        <w:t>0.43</w:t>
      </w:r>
      <w:r>
        <w:rPr>
          <w:rFonts w:hint="eastAsia" w:ascii="仿宋_GB2312" w:hAnsi="仿宋_GB2312" w:eastAsia="仿宋_GB2312" w:cs="仿宋_GB2312"/>
          <w:szCs w:val="32"/>
        </w:rPr>
        <w:t>万元，占总收入的0.</w:t>
      </w:r>
      <w:r>
        <w:rPr>
          <w:rFonts w:hint="eastAsia" w:ascii="仿宋_GB2312" w:hAnsi="仿宋_GB2312" w:eastAsia="仿宋_GB2312" w:cs="仿宋_GB2312"/>
          <w:szCs w:val="32"/>
          <w:lang w:val="en-US" w:eastAsia="zh-CN"/>
        </w:rPr>
        <w:t>14</w:t>
      </w:r>
      <w:r>
        <w:rPr>
          <w:rFonts w:hint="eastAsia" w:ascii="仿宋_GB2312" w:hAnsi="仿宋_GB2312" w:eastAsia="仿宋_GB2312" w:cs="仿宋_GB2312"/>
          <w:szCs w:val="32"/>
        </w:rPr>
        <w:t>%。</w:t>
      </w:r>
      <w:r>
        <w:drawing>
          <wp:inline distT="0" distB="0" distL="114300" distR="114300">
            <wp:extent cx="4572000" cy="274320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widowControl/>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2.本年度支出构成情况。</w:t>
      </w:r>
    </w:p>
    <w:p>
      <w:pPr>
        <w:widowControl/>
        <w:ind w:firstLine="640" w:firstLineChars="200"/>
        <w:jc w:val="left"/>
        <w:rPr>
          <w:rFonts w:ascii="仿宋_GB2312" w:hAnsi="仿宋" w:eastAsia="仿宋_GB2312"/>
          <w:szCs w:val="32"/>
        </w:rPr>
      </w:pPr>
      <w:r>
        <w:rPr>
          <w:rFonts w:hint="eastAsia" w:ascii="仿宋_GB2312" w:hAnsi="仿宋_GB2312" w:eastAsia="仿宋_GB2312" w:cs="仿宋_GB2312"/>
          <w:szCs w:val="32"/>
        </w:rPr>
        <w:t>2019年支出293.14万元。其中，基本支出273.1万元，项目支出20.04万元。</w:t>
      </w:r>
    </w:p>
    <w:p>
      <w:pPr>
        <w:widowControl/>
        <w:ind w:firstLine="640" w:firstLineChars="200"/>
        <w:jc w:val="left"/>
        <w:rPr>
          <w:rFonts w:ascii="仿宋_GB2312" w:hAnsi="仿宋" w:eastAsia="仿宋_GB2312"/>
          <w:szCs w:val="32"/>
        </w:rPr>
      </w:pPr>
      <w:r>
        <w:rPr>
          <w:rFonts w:hint="eastAsia" w:ascii="仿宋_GB2312" w:hAnsi="仿宋" w:eastAsia="仿宋_GB2312"/>
          <w:szCs w:val="32"/>
        </w:rPr>
        <w:t>本年度收入支出总体情况及比上年增长（减少）情况，分析增减变化的主要原因。</w:t>
      </w:r>
    </w:p>
    <w:p>
      <w:pPr>
        <w:widowControl/>
        <w:ind w:firstLine="640" w:firstLineChars="200"/>
        <w:jc w:val="left"/>
        <w:rPr>
          <w:rFonts w:hint="eastAsia" w:ascii="仿宋_GB2312" w:hAnsi="仿宋" w:eastAsia="仿宋_GB2312"/>
          <w:szCs w:val="32"/>
          <w:highlight w:val="none"/>
          <w:lang w:val="en-US" w:eastAsia="zh-CN"/>
        </w:rPr>
      </w:pPr>
      <w:r>
        <w:rPr>
          <w:rFonts w:hint="eastAsia" w:ascii="仿宋_GB2312" w:hAnsi="仿宋" w:eastAsia="仿宋_GB2312"/>
          <w:szCs w:val="32"/>
          <w:lang w:val="en-US" w:eastAsia="zh-CN"/>
        </w:rPr>
        <w:t>2019年</w:t>
      </w:r>
      <w:r>
        <w:rPr>
          <w:rFonts w:hint="eastAsia" w:ascii="仿宋_GB2312" w:hAnsi="仿宋" w:eastAsia="仿宋_GB2312"/>
          <w:szCs w:val="32"/>
        </w:rPr>
        <w:t>收入总计304.92万元,较上年减少54.07万元，减少的主要原因是</w:t>
      </w:r>
      <w:r>
        <w:rPr>
          <w:rFonts w:hint="eastAsia" w:ascii="仿宋_GB2312" w:hAnsi="仿宋" w:eastAsia="仿宋_GB2312"/>
          <w:szCs w:val="32"/>
          <w:highlight w:val="none"/>
        </w:rPr>
        <w:t>财政</w:t>
      </w:r>
      <w:r>
        <w:rPr>
          <w:rFonts w:hint="eastAsia" w:ascii="仿宋_GB2312" w:hAnsi="仿宋" w:eastAsia="仿宋_GB2312"/>
          <w:szCs w:val="32"/>
          <w:highlight w:val="none"/>
          <w:lang w:val="en-US" w:eastAsia="zh-CN"/>
        </w:rPr>
        <w:t>拨款收入减少</w:t>
      </w:r>
      <w:r>
        <w:rPr>
          <w:rFonts w:hint="eastAsia" w:ascii="仿宋_GB2312" w:hAnsi="仿宋" w:eastAsia="仿宋_GB2312"/>
          <w:szCs w:val="32"/>
          <w:highlight w:val="none"/>
        </w:rPr>
        <w:t>，2019年支出293.14万元，较上年减少41.91万元，减少的主要原因是</w:t>
      </w:r>
      <w:r>
        <w:rPr>
          <w:rFonts w:hint="eastAsia" w:ascii="仿宋_GB2312" w:hAnsi="仿宋" w:eastAsia="仿宋_GB2312"/>
          <w:szCs w:val="32"/>
          <w:highlight w:val="none"/>
          <w:lang w:val="en-US" w:eastAsia="zh-CN"/>
        </w:rPr>
        <w:t>人员变动，导致人员经费减少，三公经费缩减。</w:t>
      </w:r>
    </w:p>
    <w:p>
      <w:pPr>
        <w:widowControl/>
        <w:ind w:firstLine="640" w:firstLineChars="200"/>
        <w:jc w:val="left"/>
        <w:rPr>
          <w:rFonts w:hint="eastAsia" w:ascii="黑体" w:hAnsi="黑体" w:eastAsia="黑体"/>
          <w:color w:val="000000"/>
          <w:kern w:val="0"/>
          <w:szCs w:val="32"/>
          <w:lang w:bidi="ar"/>
        </w:rPr>
      </w:pPr>
      <w:r>
        <w:drawing>
          <wp:inline distT="0" distB="0" distL="0" distR="0">
            <wp:extent cx="4572000" cy="27432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pPr>
        <w:widowControl/>
        <w:ind w:firstLine="640" w:firstLineChars="200"/>
        <w:jc w:val="left"/>
        <w:rPr>
          <w:rFonts w:ascii="黑体" w:hAnsi="黑体" w:eastAsia="黑体"/>
          <w:color w:val="000000"/>
          <w:kern w:val="0"/>
          <w:szCs w:val="32"/>
          <w:lang w:bidi="ar"/>
        </w:rPr>
      </w:pPr>
      <w:r>
        <w:rPr>
          <w:rFonts w:hint="eastAsia" w:ascii="黑体" w:hAnsi="黑体" w:eastAsia="黑体"/>
          <w:color w:val="000000"/>
          <w:kern w:val="0"/>
          <w:szCs w:val="32"/>
          <w:lang w:bidi="ar"/>
        </w:rPr>
        <w:t>二、收入决算情况说明</w:t>
      </w:r>
    </w:p>
    <w:p>
      <w:pPr>
        <w:widowControl/>
        <w:ind w:firstLine="640" w:firstLineChars="200"/>
        <w:jc w:val="left"/>
        <w:rPr>
          <w:rFonts w:hint="eastAsia" w:ascii="仿宋_GB2312" w:hAnsi="仿宋_GB2312" w:eastAsia="仿宋_GB2312" w:cs="仿宋_GB2312"/>
          <w:szCs w:val="32"/>
        </w:rPr>
      </w:pPr>
      <w:r>
        <w:rPr>
          <w:rFonts w:hint="eastAsia" w:ascii="仿宋_GB2312" w:hAnsi="仿宋_GB2312" w:eastAsia="仿宋_GB2312" w:cs="仿宋_GB2312"/>
          <w:szCs w:val="32"/>
        </w:rPr>
        <w:t>本年度收入构成情况。</w:t>
      </w:r>
    </w:p>
    <w:p>
      <w:pPr>
        <w:widowControl/>
        <w:ind w:firstLine="640" w:firstLineChars="200"/>
        <w:jc w:val="left"/>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2019 年度本年收入合计304.92 万元。其中：财政拨款 304.48万元，占总收入的99.8</w:t>
      </w:r>
      <w:r>
        <w:rPr>
          <w:rFonts w:hint="eastAsia" w:ascii="仿宋_GB2312" w:hAnsi="仿宋_GB2312" w:eastAsia="仿宋_GB2312" w:cs="仿宋_GB2312"/>
          <w:szCs w:val="32"/>
          <w:lang w:val="en-US" w:eastAsia="zh-CN"/>
        </w:rPr>
        <w:t>6</w:t>
      </w:r>
      <w:r>
        <w:rPr>
          <w:rFonts w:hint="eastAsia" w:ascii="仿宋_GB2312" w:hAnsi="仿宋_GB2312" w:eastAsia="仿宋_GB2312" w:cs="仿宋_GB2312"/>
          <w:szCs w:val="32"/>
        </w:rPr>
        <w:t>%，其他收入——利息</w:t>
      </w:r>
      <w:r>
        <w:rPr>
          <w:rFonts w:hint="eastAsia" w:ascii="仿宋_GB2312" w:hAnsi="仿宋_GB2312" w:eastAsia="仿宋_GB2312" w:cs="仿宋_GB2312"/>
          <w:szCs w:val="32"/>
          <w:lang w:val="en-US" w:eastAsia="zh-CN"/>
        </w:rPr>
        <w:t>0.43</w:t>
      </w:r>
      <w:r>
        <w:rPr>
          <w:rFonts w:hint="eastAsia" w:ascii="仿宋_GB2312" w:hAnsi="仿宋_GB2312" w:eastAsia="仿宋_GB2312" w:cs="仿宋_GB2312"/>
          <w:szCs w:val="32"/>
        </w:rPr>
        <w:t>万元，占总收入的0.</w:t>
      </w:r>
      <w:r>
        <w:rPr>
          <w:rFonts w:hint="eastAsia" w:ascii="仿宋_GB2312" w:hAnsi="仿宋_GB2312" w:eastAsia="仿宋_GB2312" w:cs="仿宋_GB2312"/>
          <w:szCs w:val="32"/>
          <w:lang w:val="en-US" w:eastAsia="zh-CN"/>
        </w:rPr>
        <w:t>14</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（按照小数点后两位四舍五入计算可能会存在误差。）</w:t>
      </w:r>
    </w:p>
    <w:p>
      <w:pPr>
        <w:widowControl/>
        <w:ind w:firstLine="640" w:firstLineChars="200"/>
        <w:jc w:val="left"/>
        <w:rPr>
          <w:rFonts w:hint="eastAsia" w:ascii="黑体" w:hAnsi="黑体" w:eastAsia="黑体"/>
          <w:color w:val="000000"/>
          <w:kern w:val="0"/>
          <w:szCs w:val="32"/>
          <w:lang w:bidi="ar"/>
        </w:rPr>
      </w:pPr>
      <w:r>
        <w:rPr>
          <w:rFonts w:hint="eastAsia" w:ascii="仿宋_GB2312" w:hAnsi="仿宋_GB2312" w:eastAsia="仿宋_GB2312" w:cs="仿宋_GB2312"/>
          <w:szCs w:val="32"/>
        </w:rPr>
        <w:t>2019年收入总计304.92万元,较上年减少54.07万元，减少的主要原因</w:t>
      </w:r>
      <w:r>
        <w:rPr>
          <w:rFonts w:hint="eastAsia" w:ascii="仿宋_GB2312" w:hAnsi="仿宋" w:eastAsia="仿宋_GB2312"/>
          <w:szCs w:val="32"/>
          <w:highlight w:val="none"/>
          <w:lang w:val="en-US" w:eastAsia="zh-CN"/>
        </w:rPr>
        <w:t>人员变动，导致人员经费减少、三公经费缩减人员变动。</w:t>
      </w:r>
    </w:p>
    <w:p>
      <w:pPr>
        <w:widowControl/>
        <w:ind w:firstLine="640" w:firstLineChars="200"/>
        <w:jc w:val="left"/>
        <w:rPr>
          <w:rFonts w:ascii="黑体" w:hAnsi="黑体" w:eastAsia="黑体"/>
        </w:rPr>
      </w:pPr>
      <w:r>
        <w:rPr>
          <w:rFonts w:hint="eastAsia" w:ascii="黑体" w:hAnsi="黑体" w:eastAsia="黑体"/>
          <w:color w:val="000000"/>
          <w:kern w:val="0"/>
          <w:szCs w:val="32"/>
          <w:lang w:bidi="ar"/>
        </w:rPr>
        <w:t xml:space="preserve">三、支出决算情况说明  </w:t>
      </w:r>
    </w:p>
    <w:p>
      <w:pPr>
        <w:widowControl/>
        <w:ind w:firstLine="640" w:firstLineChars="200"/>
        <w:jc w:val="left"/>
        <w:rPr>
          <w:rFonts w:hint="eastAsia" w:ascii="仿宋_GB2312" w:hAnsi="仿宋_GB2312" w:eastAsia="仿宋_GB2312" w:cs="仿宋_GB2312"/>
          <w:szCs w:val="32"/>
        </w:rPr>
      </w:pPr>
      <w:r>
        <w:rPr>
          <w:rFonts w:hint="eastAsia" w:ascii="仿宋_GB2312" w:hAnsi="仿宋_GB2312" w:eastAsia="仿宋_GB2312" w:cs="仿宋_GB2312"/>
          <w:szCs w:val="32"/>
        </w:rPr>
        <w:t>本年度支出构成情况。</w:t>
      </w:r>
    </w:p>
    <w:p>
      <w:pPr>
        <w:widowControl/>
        <w:ind w:firstLine="640" w:firstLineChars="200"/>
        <w:jc w:val="left"/>
        <w:rPr>
          <w:rFonts w:hint="eastAsia" w:ascii="仿宋_GB2312" w:hAnsi="仿宋_GB2312" w:eastAsia="仿宋_GB2312" w:cs="仿宋_GB2312"/>
          <w:szCs w:val="32"/>
        </w:rPr>
      </w:pPr>
      <w:r>
        <w:rPr>
          <w:rFonts w:hint="eastAsia" w:ascii="仿宋_GB2312" w:hAnsi="仿宋_GB2312" w:eastAsia="仿宋_GB2312" w:cs="仿宋_GB2312"/>
          <w:szCs w:val="32"/>
        </w:rPr>
        <w:t>2019年支出293.14万元。其中，基本支出273.1万元，占总支出的93.</w:t>
      </w:r>
      <w:r>
        <w:rPr>
          <w:rFonts w:hint="eastAsia" w:ascii="仿宋_GB2312" w:hAnsi="仿宋_GB2312" w:eastAsia="仿宋_GB2312" w:cs="仿宋_GB2312"/>
          <w:szCs w:val="32"/>
          <w:lang w:val="en-US" w:eastAsia="zh-CN"/>
        </w:rPr>
        <w:t>16</w:t>
      </w:r>
      <w:r>
        <w:rPr>
          <w:rFonts w:hint="eastAsia" w:ascii="仿宋_GB2312" w:hAnsi="仿宋_GB2312" w:eastAsia="仿宋_GB2312" w:cs="仿宋_GB2312"/>
          <w:szCs w:val="32"/>
        </w:rPr>
        <w:t>%；项目支出20.04万元，占总支出的6.8</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 xml:space="preserve">%。 </w:t>
      </w:r>
    </w:p>
    <w:p>
      <w:pPr>
        <w:widowControl/>
        <w:ind w:firstLine="640" w:firstLineChars="200"/>
        <w:jc w:val="left"/>
        <w:rPr>
          <w:rFonts w:hint="eastAsia" w:ascii="仿宋_GB2312" w:hAnsi="仿宋" w:eastAsia="仿宋_GB2312"/>
          <w:szCs w:val="32"/>
          <w:highlight w:val="none"/>
          <w:lang w:val="en-US" w:eastAsia="zh-CN"/>
        </w:rPr>
      </w:pPr>
      <w:r>
        <w:rPr>
          <w:rFonts w:hint="eastAsia" w:ascii="仿宋_GB2312" w:hAnsi="仿宋_GB2312" w:eastAsia="仿宋_GB2312" w:cs="仿宋_GB2312"/>
          <w:szCs w:val="32"/>
        </w:rPr>
        <w:t>2019年支出293.14万元，较上年减少41.91万元，减少的主要原因是</w:t>
      </w:r>
      <w:r>
        <w:rPr>
          <w:rFonts w:hint="eastAsia" w:ascii="仿宋_GB2312" w:hAnsi="仿宋" w:eastAsia="仿宋_GB2312"/>
          <w:szCs w:val="32"/>
          <w:highlight w:val="none"/>
          <w:lang w:val="en-US" w:eastAsia="zh-CN"/>
        </w:rPr>
        <w:t>人员变动，导致人员经费减少、三公经费缩减人员变动。</w:t>
      </w:r>
    </w:p>
    <w:p>
      <w:pPr>
        <w:widowControl/>
        <w:ind w:firstLine="1920" w:firstLineChars="600"/>
        <w:jc w:val="left"/>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Cs w:val="32"/>
          <w:lang w:val="en-US" w:eastAsia="zh-CN"/>
        </w:rPr>
        <w:t xml:space="preserve">2019年部门支出占比图   </w:t>
      </w:r>
      <w:r>
        <w:rPr>
          <w:rFonts w:hint="eastAsia" w:ascii="仿宋_GB2312" w:hAnsi="仿宋_GB2312" w:eastAsia="仿宋_GB2312" w:cs="仿宋_GB2312"/>
          <w:sz w:val="22"/>
          <w:szCs w:val="22"/>
          <w:lang w:val="en-US" w:eastAsia="zh-CN"/>
        </w:rPr>
        <w:t>单位：万元</w:t>
      </w:r>
    </w:p>
    <w:p>
      <w:pPr>
        <w:widowControl/>
        <w:ind w:firstLine="640" w:firstLineChars="200"/>
        <w:jc w:val="left"/>
        <w:rPr>
          <w:rFonts w:ascii="黑体" w:hAnsi="黑体" w:eastAsia="黑体"/>
          <w:color w:val="000000"/>
          <w:kern w:val="0"/>
          <w:szCs w:val="32"/>
          <w:lang w:bidi="ar"/>
        </w:rPr>
      </w:pPr>
      <w:r>
        <w:drawing>
          <wp:anchor distT="0" distB="0" distL="0" distR="0" simplePos="0" relativeHeight="251658240" behindDoc="0" locked="0" layoutInCell="1" allowOverlap="1">
            <wp:simplePos x="0" y="0"/>
            <wp:positionH relativeFrom="column">
              <wp:posOffset>718820</wp:posOffset>
            </wp:positionH>
            <wp:positionV relativeFrom="paragraph">
              <wp:posOffset>66675</wp:posOffset>
            </wp:positionV>
            <wp:extent cx="3775075" cy="2278380"/>
            <wp:effectExtent l="0" t="0" r="9525" b="7620"/>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olor w:val="000000"/>
          <w:kern w:val="0"/>
          <w:szCs w:val="32"/>
          <w:lang w:bidi="ar"/>
        </w:rPr>
        <w:t xml:space="preserve">四、财政拨款收入支出决算总体情况说明  </w:t>
      </w:r>
    </w:p>
    <w:p>
      <w:pPr>
        <w:widowControl/>
        <w:ind w:firstLine="640" w:firstLineChars="200"/>
        <w:jc w:val="left"/>
        <w:rPr>
          <w:rFonts w:hint="eastAsia" w:ascii="仿宋_GB2312" w:hAnsi="仿宋" w:eastAsia="仿宋_GB2312"/>
          <w:szCs w:val="32"/>
          <w:highlight w:val="none"/>
        </w:rPr>
      </w:pPr>
      <w:r>
        <w:rPr>
          <w:rFonts w:hint="eastAsia" w:ascii="仿宋_GB2312" w:hAnsi="仿宋" w:eastAsia="仿宋_GB2312"/>
          <w:szCs w:val="32"/>
          <w:highlight w:val="none"/>
          <w:lang w:val="en-US" w:eastAsia="zh-CN"/>
        </w:rPr>
        <w:t>2019年</w:t>
      </w:r>
      <w:r>
        <w:rPr>
          <w:rFonts w:hint="eastAsia" w:ascii="仿宋_GB2312" w:hAnsi="仿宋_GB2312" w:eastAsia="仿宋_GB2312" w:cs="仿宋_GB2312"/>
          <w:szCs w:val="32"/>
        </w:rPr>
        <w:t>财政拨款</w:t>
      </w:r>
      <w:r>
        <w:rPr>
          <w:rFonts w:hint="eastAsia" w:ascii="仿宋_GB2312" w:hAnsi="仿宋" w:eastAsia="仿宋_GB2312"/>
          <w:szCs w:val="32"/>
          <w:highlight w:val="none"/>
          <w:lang w:val="en-US" w:eastAsia="zh-CN"/>
        </w:rPr>
        <w:t>收入</w:t>
      </w:r>
      <w:r>
        <w:rPr>
          <w:rFonts w:hint="eastAsia" w:ascii="仿宋_GB2312" w:hAnsi="仿宋_GB2312" w:eastAsia="仿宋_GB2312" w:cs="仿宋_GB2312"/>
          <w:szCs w:val="32"/>
        </w:rPr>
        <w:t>304.48万元</w:t>
      </w:r>
      <w:r>
        <w:rPr>
          <w:rFonts w:hint="eastAsia" w:ascii="仿宋_GB2312" w:hAnsi="仿宋" w:eastAsia="仿宋_GB2312"/>
          <w:szCs w:val="32"/>
          <w:highlight w:val="none"/>
          <w:lang w:val="en-US" w:eastAsia="zh-CN"/>
        </w:rPr>
        <w:t>,较上年财政拨款收入减少54.07万元，</w:t>
      </w:r>
      <w:r>
        <w:rPr>
          <w:rFonts w:hint="eastAsia" w:ascii="仿宋_GB2312" w:hAnsi="仿宋" w:eastAsia="仿宋_GB2312"/>
          <w:szCs w:val="32"/>
        </w:rPr>
        <w:t>减少的主要原因</w:t>
      </w:r>
      <w:r>
        <w:rPr>
          <w:rFonts w:hint="eastAsia" w:ascii="仿宋_GB2312" w:hAnsi="仿宋" w:eastAsia="仿宋_GB2312"/>
          <w:szCs w:val="32"/>
          <w:highlight w:val="none"/>
        </w:rPr>
        <w:t>是</w:t>
      </w:r>
      <w:r>
        <w:rPr>
          <w:rFonts w:hint="eastAsia" w:ascii="仿宋_GB2312" w:hAnsi="仿宋" w:eastAsia="仿宋_GB2312"/>
          <w:szCs w:val="32"/>
          <w:highlight w:val="none"/>
          <w:lang w:val="en-US" w:eastAsia="zh-CN"/>
        </w:rPr>
        <w:t>人员变动，导致人员经费减少，以及三公经费预算降低</w:t>
      </w:r>
      <w:r>
        <w:rPr>
          <w:rFonts w:hint="eastAsia" w:ascii="仿宋_GB2312" w:hAnsi="仿宋" w:eastAsia="仿宋_GB2312"/>
          <w:szCs w:val="32"/>
          <w:highlight w:val="none"/>
        </w:rPr>
        <w:t>。</w:t>
      </w:r>
    </w:p>
    <w:p>
      <w:pPr>
        <w:widowControl/>
        <w:ind w:firstLine="640" w:firstLineChars="200"/>
        <w:jc w:val="left"/>
        <w:rPr>
          <w:rFonts w:hint="eastAsia" w:ascii="仿宋_GB2312" w:hAnsi="仿宋" w:eastAsia="仿宋_GB2312"/>
          <w:szCs w:val="32"/>
          <w:highlight w:val="none"/>
          <w:lang w:val="en-US" w:eastAsia="zh-CN"/>
        </w:rPr>
      </w:pPr>
      <w:r>
        <w:rPr>
          <w:rFonts w:hint="eastAsia" w:ascii="仿宋_GB2312" w:hAnsi="仿宋" w:eastAsia="仿宋_GB2312"/>
          <w:szCs w:val="32"/>
          <w:highlight w:val="none"/>
        </w:rPr>
        <w:t>2019年支出293.14万元，较上年减少41.91万元，减少的主要原因是</w:t>
      </w:r>
      <w:r>
        <w:rPr>
          <w:rFonts w:hint="eastAsia" w:ascii="仿宋_GB2312" w:hAnsi="仿宋" w:eastAsia="仿宋_GB2312"/>
          <w:szCs w:val="32"/>
          <w:highlight w:val="none"/>
          <w:lang w:val="en-US" w:eastAsia="zh-CN"/>
        </w:rPr>
        <w:t>人员变动，导致人员经费减少，以及三公经费缩减。</w:t>
      </w:r>
    </w:p>
    <w:p>
      <w:pPr>
        <w:widowControl/>
        <w:ind w:firstLine="640" w:firstLineChars="200"/>
        <w:jc w:val="left"/>
        <w:rPr>
          <w:rFonts w:ascii="黑体" w:hAnsi="黑体" w:eastAsia="黑体"/>
          <w:color w:val="000000"/>
          <w:kern w:val="0"/>
          <w:szCs w:val="32"/>
          <w:lang w:bidi="ar"/>
        </w:rPr>
      </w:pPr>
      <w:r>
        <w:rPr>
          <w:rFonts w:hint="eastAsia" w:ascii="黑体" w:hAnsi="黑体" w:eastAsia="黑体"/>
          <w:color w:val="000000"/>
          <w:kern w:val="0"/>
          <w:szCs w:val="32"/>
          <w:lang w:bidi="ar"/>
        </w:rPr>
        <w:t>五、一般公共预算财政拨款支出决算情况说明</w:t>
      </w:r>
    </w:p>
    <w:p>
      <w:pPr>
        <w:widowControl/>
        <w:ind w:firstLine="643" w:firstLineChars="200"/>
        <w:jc w:val="left"/>
        <w:rPr>
          <w:rFonts w:ascii="楷体_GB2312" w:hAnsi="宋体" w:eastAsia="楷体_GB2312" w:cs="楷体_GB2312"/>
          <w:b/>
          <w:color w:val="000000"/>
          <w:kern w:val="0"/>
          <w:szCs w:val="32"/>
          <w:lang w:bidi="ar"/>
        </w:rPr>
      </w:pPr>
      <w:r>
        <w:rPr>
          <w:rFonts w:ascii="楷体_GB2312" w:hAnsi="宋体" w:eastAsia="楷体_GB2312" w:cs="楷体_GB2312"/>
          <w:b/>
          <w:color w:val="000000"/>
          <w:kern w:val="0"/>
          <w:szCs w:val="32"/>
          <w:lang w:bidi="ar"/>
        </w:rPr>
        <w:t>（一）财政拨款支出决算总体情况</w:t>
      </w:r>
      <w:r>
        <w:rPr>
          <w:rFonts w:hint="eastAsia" w:ascii="楷体_GB2312" w:hAnsi="宋体" w:eastAsia="楷体_GB2312" w:cs="楷体_GB2312"/>
          <w:b/>
          <w:color w:val="000000"/>
          <w:kern w:val="0"/>
          <w:szCs w:val="32"/>
          <w:lang w:bidi="ar"/>
        </w:rPr>
        <w:t>说明</w:t>
      </w:r>
      <w:r>
        <w:rPr>
          <w:rFonts w:ascii="楷体_GB2312" w:hAnsi="宋体" w:eastAsia="楷体_GB2312" w:cs="楷体_GB2312"/>
          <w:b/>
          <w:color w:val="000000"/>
          <w:kern w:val="0"/>
          <w:szCs w:val="32"/>
          <w:lang w:bidi="ar"/>
        </w:rPr>
        <w:t>。</w:t>
      </w:r>
    </w:p>
    <w:p>
      <w:pPr>
        <w:widowControl/>
        <w:ind w:firstLine="640" w:firstLineChars="200"/>
        <w:jc w:val="left"/>
      </w:pPr>
      <w:r>
        <w:rPr>
          <w:rFonts w:ascii="仿宋_GB2312" w:hAnsi="宋体" w:eastAsia="仿宋_GB2312" w:cs="仿宋_GB2312"/>
          <w:color w:val="000000"/>
          <w:kern w:val="0"/>
          <w:szCs w:val="32"/>
          <w:lang w:bidi="ar"/>
        </w:rPr>
        <w:t>2019年</w:t>
      </w:r>
      <w:r>
        <w:rPr>
          <w:rFonts w:hint="eastAsia" w:ascii="仿宋_GB2312" w:hAnsi="仿宋" w:eastAsia="仿宋_GB2312"/>
          <w:szCs w:val="32"/>
        </w:rPr>
        <w:t>度</w:t>
      </w:r>
      <w:r>
        <w:rPr>
          <w:rFonts w:hint="eastAsia" w:ascii="仿宋_GB2312" w:hAnsi="仿宋" w:eastAsia="仿宋_GB2312"/>
          <w:szCs w:val="32"/>
          <w:lang w:eastAsia="zh-CN"/>
        </w:rPr>
        <w:t>一般公共预算</w:t>
      </w:r>
      <w:r>
        <w:rPr>
          <w:rFonts w:ascii="仿宋_GB2312" w:hAnsi="宋体" w:eastAsia="仿宋_GB2312" w:cs="仿宋_GB2312"/>
          <w:color w:val="000000"/>
          <w:kern w:val="0"/>
          <w:szCs w:val="32"/>
          <w:lang w:bidi="ar"/>
        </w:rPr>
        <w:t>财政拨款支出</w:t>
      </w:r>
      <w:r>
        <w:rPr>
          <w:rFonts w:hint="eastAsia" w:ascii="仿宋_GB2312" w:hAnsi="宋体" w:eastAsia="仿宋_GB2312" w:cs="仿宋_GB2312"/>
          <w:color w:val="000000"/>
          <w:kern w:val="0"/>
          <w:szCs w:val="32"/>
          <w:lang w:val="en-US" w:eastAsia="zh-CN" w:bidi="ar"/>
        </w:rPr>
        <w:t>292.7</w:t>
      </w:r>
      <w:r>
        <w:rPr>
          <w:rFonts w:ascii="仿宋_GB2312" w:hAnsi="宋体" w:eastAsia="仿宋_GB2312" w:cs="仿宋_GB2312"/>
          <w:color w:val="000000"/>
          <w:kern w:val="0"/>
          <w:szCs w:val="32"/>
          <w:lang w:bidi="ar"/>
        </w:rPr>
        <w:t>万元，占本年支出合计的</w:t>
      </w:r>
      <w:r>
        <w:rPr>
          <w:rFonts w:hint="eastAsia" w:ascii="仿宋_GB2312" w:hAnsi="宋体" w:eastAsia="仿宋_GB2312" w:cs="仿宋_GB2312"/>
          <w:color w:val="000000"/>
          <w:kern w:val="0"/>
          <w:szCs w:val="32"/>
          <w:lang w:val="en-US" w:eastAsia="zh-CN" w:bidi="ar"/>
        </w:rPr>
        <w:t>99.85</w:t>
      </w:r>
      <w:r>
        <w:rPr>
          <w:rFonts w:ascii="仿宋_GB2312" w:hAnsi="宋体" w:eastAsia="仿宋_GB2312" w:cs="仿宋_GB2312"/>
          <w:color w:val="000000"/>
          <w:kern w:val="0"/>
          <w:szCs w:val="32"/>
          <w:lang w:bidi="ar"/>
        </w:rPr>
        <w:t>%。与</w:t>
      </w:r>
      <w:r>
        <w:rPr>
          <w:rFonts w:hint="eastAsia" w:ascii="仿宋_GB2312" w:hAnsi="宋体" w:eastAsia="仿宋_GB2312" w:cs="仿宋_GB2312"/>
          <w:color w:val="000000"/>
          <w:kern w:val="0"/>
          <w:szCs w:val="32"/>
          <w:lang w:bidi="ar"/>
        </w:rPr>
        <w:t>上年</w:t>
      </w:r>
      <w:r>
        <w:rPr>
          <w:rFonts w:ascii="仿宋_GB2312" w:hAnsi="宋体" w:eastAsia="仿宋_GB2312" w:cs="仿宋_GB2312"/>
          <w:color w:val="000000"/>
          <w:kern w:val="0"/>
          <w:szCs w:val="32"/>
          <w:lang w:bidi="ar"/>
        </w:rPr>
        <w:t>相比，财政拨款支出</w:t>
      </w:r>
      <w:r>
        <w:rPr>
          <w:rFonts w:hint="eastAsia" w:ascii="仿宋_GB2312" w:hAnsi="宋体" w:eastAsia="仿宋_GB2312" w:cs="仿宋_GB2312"/>
          <w:color w:val="000000"/>
          <w:kern w:val="0"/>
          <w:szCs w:val="32"/>
          <w:lang w:bidi="ar"/>
        </w:rPr>
        <w:t>减少</w:t>
      </w:r>
      <w:r>
        <w:rPr>
          <w:rFonts w:hint="eastAsia" w:ascii="仿宋_GB2312" w:hAnsi="仿宋" w:eastAsia="仿宋_GB2312"/>
          <w:szCs w:val="32"/>
          <w:lang w:val="en-US" w:eastAsia="zh-CN"/>
        </w:rPr>
        <w:t>42.35</w:t>
      </w:r>
      <w:r>
        <w:rPr>
          <w:rFonts w:ascii="仿宋_GB2312" w:hAnsi="宋体" w:eastAsia="仿宋_GB2312" w:cs="仿宋_GB2312"/>
          <w:color w:val="000000"/>
          <w:kern w:val="0"/>
          <w:szCs w:val="32"/>
          <w:lang w:bidi="ar"/>
        </w:rPr>
        <w:t>万元，</w:t>
      </w:r>
      <w:r>
        <w:rPr>
          <w:rFonts w:hint="eastAsia" w:ascii="仿宋_GB2312" w:hAnsi="宋体" w:eastAsia="仿宋_GB2312" w:cs="仿宋_GB2312"/>
          <w:color w:val="000000"/>
          <w:kern w:val="0"/>
          <w:szCs w:val="32"/>
          <w:lang w:bidi="ar"/>
        </w:rPr>
        <w:t>减少</w:t>
      </w:r>
      <w:r>
        <w:rPr>
          <w:rFonts w:hint="eastAsia" w:ascii="仿宋_GB2312" w:hAnsi="宋体" w:eastAsia="仿宋_GB2312" w:cs="仿宋_GB2312"/>
          <w:color w:val="000000"/>
          <w:kern w:val="0"/>
          <w:szCs w:val="32"/>
          <w:lang w:val="en-US" w:eastAsia="zh-CN" w:bidi="ar"/>
        </w:rPr>
        <w:t>14</w:t>
      </w:r>
      <w:r>
        <w:rPr>
          <w:rFonts w:ascii="仿宋_GB2312" w:hAnsi="宋体" w:eastAsia="仿宋_GB2312" w:cs="仿宋_GB2312"/>
          <w:color w:val="000000"/>
          <w:kern w:val="0"/>
          <w:szCs w:val="32"/>
          <w:lang w:bidi="ar"/>
        </w:rPr>
        <w:t>%，</w:t>
      </w:r>
      <w:r>
        <w:rPr>
          <w:rFonts w:hint="eastAsia" w:ascii="仿宋_GB2312" w:hAnsi="仿宋" w:eastAsia="仿宋_GB2312"/>
          <w:szCs w:val="32"/>
          <w:highlight w:val="none"/>
          <w:lang w:val="en-US" w:eastAsia="zh-CN"/>
        </w:rPr>
        <w:t>主要原因是人员变动，导致人员经费减少、三公经费缩减。</w:t>
      </w:r>
    </w:p>
    <w:p>
      <w:pPr>
        <w:spacing w:line="360" w:lineRule="auto"/>
        <w:ind w:firstLine="643" w:firstLineChars="200"/>
        <w:rPr>
          <w:rFonts w:ascii="楷体_GB2312" w:hAnsi="宋体" w:eastAsia="楷体_GB2312" w:cs="楷体_GB2312"/>
          <w:b/>
          <w:color w:val="000000"/>
          <w:kern w:val="0"/>
          <w:szCs w:val="32"/>
          <w:lang w:bidi="ar"/>
        </w:rPr>
      </w:pPr>
      <w:r>
        <w:rPr>
          <w:rFonts w:hint="eastAsia" w:ascii="楷体_GB2312" w:hAnsi="宋体" w:eastAsia="楷体_GB2312" w:cs="楷体_GB2312"/>
          <w:b/>
          <w:color w:val="000000"/>
          <w:kern w:val="0"/>
          <w:szCs w:val="32"/>
          <w:lang w:bidi="ar"/>
        </w:rPr>
        <w:t>（二）</w:t>
      </w:r>
      <w:r>
        <w:rPr>
          <w:rFonts w:ascii="楷体_GB2312" w:hAnsi="宋体" w:eastAsia="楷体_GB2312" w:cs="楷体_GB2312"/>
          <w:b/>
          <w:color w:val="000000"/>
          <w:kern w:val="0"/>
          <w:szCs w:val="32"/>
          <w:lang w:bidi="ar"/>
        </w:rPr>
        <w:t>财政拨款支出决算具体情况</w:t>
      </w:r>
      <w:r>
        <w:rPr>
          <w:rFonts w:hint="eastAsia" w:ascii="楷体_GB2312" w:hAnsi="宋体" w:eastAsia="楷体_GB2312" w:cs="楷体_GB2312"/>
          <w:b/>
          <w:color w:val="000000"/>
          <w:kern w:val="0"/>
          <w:szCs w:val="32"/>
          <w:lang w:bidi="ar"/>
        </w:rPr>
        <w:t>说明</w:t>
      </w:r>
      <w:r>
        <w:rPr>
          <w:rFonts w:ascii="楷体_GB2312" w:hAnsi="宋体" w:eastAsia="楷体_GB2312" w:cs="楷体_GB2312"/>
          <w:b/>
          <w:color w:val="000000"/>
          <w:kern w:val="0"/>
          <w:szCs w:val="32"/>
          <w:lang w:bidi="ar"/>
        </w:rPr>
        <w:t>。</w:t>
      </w:r>
    </w:p>
    <w:p>
      <w:pPr>
        <w:widowControl/>
        <w:ind w:firstLine="640" w:firstLineChars="200"/>
        <w:jc w:val="left"/>
        <w:rPr>
          <w:rFonts w:hint="eastAsia" w:ascii="仿宋_GB2312" w:hAnsi="宋体" w:eastAsia="仿宋_GB2312" w:cs="仿宋_GB2312"/>
          <w:color w:val="000000"/>
          <w:kern w:val="0"/>
          <w:szCs w:val="32"/>
          <w:lang w:val="en-US" w:eastAsia="zh-CN" w:bidi="ar"/>
        </w:rPr>
      </w:pPr>
      <w:r>
        <w:rPr>
          <w:rFonts w:hint="eastAsia" w:ascii="仿宋_GB2312" w:hAnsi="宋体" w:eastAsia="仿宋_GB2312" w:cs="仿宋_GB2312"/>
          <w:color w:val="000000"/>
          <w:kern w:val="0"/>
          <w:szCs w:val="32"/>
          <w:lang w:val="en-US" w:eastAsia="zh-CN" w:bidi="ar"/>
        </w:rPr>
        <w:t>2019年度财政拨款支出292.7万元。按照政府功能分类科目，其中：文化旅游体育与传媒支出220.23万元，社会保障和就业支出34.98万元，卫生健康支出13.26万元，住房保障支出24.22万元。</w:t>
      </w:r>
    </w:p>
    <w:p>
      <w:pPr>
        <w:spacing w:line="360" w:lineRule="auto"/>
        <w:ind w:firstLine="640" w:firstLineChars="200"/>
        <w:rPr>
          <w:rFonts w:ascii="仿宋_GB2312" w:hAnsi="仿宋" w:eastAsia="仿宋_GB2312"/>
          <w:szCs w:val="32"/>
        </w:rPr>
      </w:pPr>
      <w:r>
        <w:rPr>
          <w:rFonts w:hint="eastAsia" w:ascii="黑体" w:hAnsi="黑体" w:eastAsia="黑体"/>
          <w:color w:val="000000"/>
          <w:kern w:val="0"/>
          <w:szCs w:val="32"/>
          <w:lang w:bidi="ar"/>
        </w:rPr>
        <w:t xml:space="preserve">六、一般公共预算财政拨款基本支出决算情况说明 </w:t>
      </w:r>
    </w:p>
    <w:p>
      <w:pPr>
        <w:widowControl/>
        <w:ind w:firstLine="620" w:firstLineChars="200"/>
        <w:jc w:val="left"/>
        <w:rPr>
          <w:rFonts w:ascii="仿宋_GB2312" w:hAnsi="仿宋_GB2312" w:eastAsia="仿宋_GB2312" w:cs="仿宋_GB2312"/>
          <w:color w:val="000000"/>
          <w:kern w:val="0"/>
          <w:sz w:val="31"/>
          <w:szCs w:val="31"/>
          <w:lang w:bidi="ar"/>
        </w:rPr>
      </w:pPr>
      <w:r>
        <w:rPr>
          <w:rFonts w:ascii="仿宋_GB2312" w:hAnsi="仿宋_GB2312" w:eastAsia="仿宋_GB2312" w:cs="仿宋_GB2312"/>
          <w:color w:val="000000"/>
          <w:kern w:val="0"/>
          <w:sz w:val="31"/>
          <w:szCs w:val="31"/>
          <w:lang w:bidi="ar"/>
        </w:rPr>
        <w:t>201</w:t>
      </w:r>
      <w:r>
        <w:rPr>
          <w:rFonts w:hint="eastAsia" w:ascii="仿宋_GB2312" w:hAnsi="仿宋_GB2312" w:eastAsia="仿宋_GB2312" w:cs="仿宋_GB2312"/>
          <w:color w:val="000000"/>
          <w:kern w:val="0"/>
          <w:sz w:val="31"/>
          <w:szCs w:val="31"/>
          <w:lang w:bidi="ar"/>
        </w:rPr>
        <w:t>9</w:t>
      </w:r>
      <w:r>
        <w:rPr>
          <w:rFonts w:ascii="仿宋_GB2312" w:hAnsi="仿宋_GB2312" w:eastAsia="仿宋_GB2312" w:cs="仿宋_GB2312"/>
          <w:color w:val="000000"/>
          <w:kern w:val="0"/>
          <w:sz w:val="31"/>
          <w:szCs w:val="31"/>
          <w:lang w:bidi="ar"/>
        </w:rPr>
        <w:t>年</w:t>
      </w:r>
      <w:r>
        <w:rPr>
          <w:rFonts w:hint="eastAsia" w:ascii="仿宋_GB2312" w:hAnsi="仿宋" w:eastAsia="仿宋_GB2312"/>
          <w:szCs w:val="32"/>
        </w:rPr>
        <w:t>度</w:t>
      </w:r>
      <w:r>
        <w:rPr>
          <w:rFonts w:ascii="仿宋_GB2312" w:hAnsi="仿宋_GB2312" w:eastAsia="仿宋_GB2312" w:cs="仿宋_GB2312"/>
          <w:color w:val="000000"/>
          <w:kern w:val="0"/>
          <w:sz w:val="31"/>
          <w:szCs w:val="31"/>
          <w:lang w:bidi="ar"/>
        </w:rPr>
        <w:t>一般公共预算财政拨款基本支出</w:t>
      </w:r>
      <w:r>
        <w:rPr>
          <w:rFonts w:hint="eastAsia" w:ascii="仿宋_GB2312" w:hAnsi="仿宋_GB2312" w:eastAsia="仿宋_GB2312" w:cs="仿宋_GB2312"/>
          <w:color w:val="000000"/>
          <w:kern w:val="0"/>
          <w:sz w:val="31"/>
          <w:szCs w:val="31"/>
          <w:lang w:bidi="ar"/>
        </w:rPr>
        <w:t>272.66万元，其中：</w:t>
      </w:r>
      <w:r>
        <w:rPr>
          <w:rFonts w:hint="eastAsia" w:ascii="仿宋_GB2312" w:hAnsi="仿宋_GB2312" w:eastAsia="仿宋_GB2312" w:cs="仿宋_GB2312"/>
          <w:color w:val="000000"/>
          <w:kern w:val="0"/>
          <w:sz w:val="31"/>
          <w:szCs w:val="31"/>
          <w:lang w:val="en-US" w:eastAsia="zh-CN" w:bidi="ar"/>
        </w:rPr>
        <w:t>工资福利</w:t>
      </w:r>
      <w:r>
        <w:rPr>
          <w:rFonts w:hint="eastAsia" w:ascii="仿宋_GB2312" w:hAnsi="仿宋_GB2312" w:eastAsia="仿宋_GB2312" w:cs="仿宋_GB2312"/>
          <w:color w:val="000000"/>
          <w:kern w:val="0"/>
          <w:sz w:val="31"/>
          <w:szCs w:val="31"/>
          <w:lang w:bidi="ar"/>
        </w:rPr>
        <w:t>支出246.87万元，</w:t>
      </w:r>
      <w:r>
        <w:rPr>
          <w:rFonts w:hint="eastAsia" w:ascii="仿宋_GB2312" w:hAnsi="仿宋_GB2312" w:eastAsia="仿宋_GB2312" w:cs="仿宋_GB2312"/>
          <w:color w:val="000000"/>
          <w:kern w:val="0"/>
          <w:sz w:val="31"/>
          <w:szCs w:val="31"/>
          <w:lang w:val="en-US" w:eastAsia="zh-CN" w:bidi="ar"/>
        </w:rPr>
        <w:t>商品服务支出25.80万元</w:t>
      </w:r>
      <w:r>
        <w:rPr>
          <w:rFonts w:ascii="仿宋_GB2312" w:hAnsi="仿宋_GB2312" w:eastAsia="仿宋_GB2312" w:cs="仿宋_GB2312"/>
          <w:color w:val="000000"/>
          <w:kern w:val="0"/>
          <w:sz w:val="31"/>
          <w:szCs w:val="31"/>
          <w:lang w:bidi="ar"/>
        </w:rPr>
        <w:t>。</w:t>
      </w:r>
    </w:p>
    <w:p>
      <w:pPr>
        <w:widowControl/>
        <w:ind w:firstLine="620" w:firstLineChars="200"/>
        <w:jc w:val="left"/>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工资福利支出中基本工资146.03万元、津贴补贴6.38万元、奖金16.69万元、绩效工资4.84万元、机关事业单位基本养老保险缴费24.99万元、职业年金缴费10万元、职工基本医疗保险缴费10.58万元，公务员医疗补助缴费2.68万元、其他社会保障缴费0.46万元、住房公积金24.22万元。</w:t>
      </w:r>
    </w:p>
    <w:p>
      <w:pPr>
        <w:widowControl/>
        <w:ind w:firstLine="620" w:firstLineChars="200"/>
        <w:jc w:val="left"/>
        <w:rPr>
          <w:rFonts w:hint="eastAsia" w:ascii="仿宋_GB2312" w:hAnsi="宋体" w:eastAsia="仿宋_GB2312" w:cs="仿宋_GB2312"/>
          <w:b/>
          <w:bCs/>
          <w:color w:val="000000"/>
          <w:kern w:val="0"/>
          <w:szCs w:val="32"/>
          <w:lang w:bidi="ar"/>
        </w:rPr>
      </w:pPr>
      <w:r>
        <w:rPr>
          <w:rFonts w:hint="eastAsia" w:ascii="仿宋_GB2312" w:hAnsi="仿宋_GB2312" w:eastAsia="仿宋_GB2312" w:cs="仿宋_GB2312"/>
          <w:color w:val="000000"/>
          <w:kern w:val="0"/>
          <w:sz w:val="31"/>
          <w:szCs w:val="31"/>
          <w:lang w:val="en-US" w:eastAsia="zh-CN" w:bidi="ar"/>
        </w:rPr>
        <w:t xml:space="preserve"> 商品和服务支出中办公费6.72万元、印刷费1.38万元、手续费0.14万元、水费0.70万元、电费4.66万元、邮电费0.47万元、差旅费0.21万元、维修费0.02万元、培训费0.15万元、劳务费10.11万元、公务用车运行维护费1.24万元。</w:t>
      </w:r>
    </w:p>
    <w:p>
      <w:pPr>
        <w:ind w:firstLine="640" w:firstLineChars="200"/>
        <w:rPr>
          <w:rFonts w:ascii="黑体" w:hAnsi="黑体" w:eastAsia="黑体"/>
          <w:color w:val="000000"/>
          <w:kern w:val="0"/>
          <w:szCs w:val="32"/>
          <w:lang w:bidi="ar"/>
        </w:rPr>
      </w:pPr>
      <w:r>
        <w:rPr>
          <w:rFonts w:hint="eastAsia" w:ascii="黑体" w:hAnsi="黑体" w:eastAsia="黑体"/>
          <w:color w:val="000000"/>
          <w:kern w:val="0"/>
          <w:szCs w:val="32"/>
          <w:lang w:bidi="ar"/>
        </w:rPr>
        <w:t xml:space="preserve">七、一般公共预算财政拨款“三公”经费及会议费、培训费支出决算情况说明 </w:t>
      </w:r>
    </w:p>
    <w:p>
      <w:pPr>
        <w:widowControl/>
        <w:ind w:firstLine="643" w:firstLineChars="200"/>
        <w:jc w:val="left"/>
      </w:pPr>
      <w:r>
        <w:rPr>
          <w:rFonts w:ascii="楷体_GB2312" w:hAnsi="宋体" w:eastAsia="楷体_GB2312" w:cs="楷体_GB2312"/>
          <w:b/>
          <w:color w:val="000000"/>
          <w:kern w:val="0"/>
          <w:szCs w:val="32"/>
          <w:lang w:bidi="ar"/>
        </w:rPr>
        <w:t>（一）“三公”经费财政拨款支出决算总体情况</w:t>
      </w:r>
      <w:r>
        <w:rPr>
          <w:rFonts w:hint="eastAsia" w:ascii="楷体_GB2312" w:hAnsi="宋体" w:eastAsia="楷体_GB2312" w:cs="楷体_GB2312"/>
          <w:b/>
          <w:color w:val="000000"/>
          <w:kern w:val="0"/>
          <w:szCs w:val="32"/>
          <w:lang w:bidi="ar"/>
        </w:rPr>
        <w:t>说明</w:t>
      </w:r>
      <w:r>
        <w:rPr>
          <w:rFonts w:ascii="楷体_GB2312" w:hAnsi="宋体" w:eastAsia="楷体_GB2312" w:cs="楷体_GB2312"/>
          <w:b/>
          <w:color w:val="000000"/>
          <w:kern w:val="0"/>
          <w:szCs w:val="32"/>
          <w:lang w:bidi="ar"/>
        </w:rPr>
        <w:t xml:space="preserve">。 </w:t>
      </w:r>
    </w:p>
    <w:p>
      <w:pPr>
        <w:widowControl/>
        <w:ind w:firstLine="640" w:firstLineChars="200"/>
        <w:jc w:val="left"/>
      </w:pPr>
      <w:r>
        <w:rPr>
          <w:rFonts w:ascii="仿宋_GB2312" w:hAnsi="宋体" w:eastAsia="仿宋_GB2312" w:cs="仿宋_GB2312"/>
          <w:color w:val="000000"/>
          <w:kern w:val="0"/>
          <w:szCs w:val="32"/>
          <w:lang w:bidi="ar"/>
        </w:rPr>
        <w:t>2019年</w:t>
      </w:r>
      <w:r>
        <w:rPr>
          <w:rFonts w:hint="eastAsia" w:ascii="仿宋_GB2312" w:hAnsi="仿宋" w:eastAsia="仿宋_GB2312"/>
          <w:szCs w:val="32"/>
        </w:rPr>
        <w:t>度</w:t>
      </w:r>
      <w:r>
        <w:rPr>
          <w:rFonts w:ascii="仿宋_GB2312" w:hAnsi="宋体" w:eastAsia="仿宋_GB2312" w:cs="仿宋_GB2312"/>
          <w:color w:val="000000"/>
          <w:kern w:val="0"/>
          <w:szCs w:val="32"/>
          <w:lang w:bidi="ar"/>
        </w:rPr>
        <w:t>“三公”经费财政拨款支出预算为</w:t>
      </w:r>
      <w:r>
        <w:rPr>
          <w:rFonts w:hint="eastAsia" w:ascii="仿宋_GB2312" w:hAnsi="宋体" w:eastAsia="仿宋_GB2312" w:cs="仿宋_GB2312"/>
          <w:color w:val="000000"/>
          <w:kern w:val="0"/>
          <w:szCs w:val="32"/>
          <w:lang w:bidi="ar"/>
        </w:rPr>
        <w:t>1.</w:t>
      </w:r>
      <w:r>
        <w:rPr>
          <w:rFonts w:hint="eastAsia" w:ascii="仿宋_GB2312" w:hAnsi="宋体" w:eastAsia="仿宋_GB2312" w:cs="仿宋_GB2312"/>
          <w:color w:val="000000"/>
          <w:kern w:val="0"/>
          <w:szCs w:val="32"/>
          <w:lang w:val="en-US" w:eastAsia="zh-CN" w:bidi="ar"/>
        </w:rPr>
        <w:t>65</w:t>
      </w:r>
      <w:r>
        <w:rPr>
          <w:rFonts w:ascii="仿宋_GB2312" w:hAnsi="宋体" w:eastAsia="仿宋_GB2312" w:cs="仿宋_GB2312"/>
          <w:color w:val="000000"/>
          <w:kern w:val="0"/>
          <w:szCs w:val="32"/>
          <w:lang w:bidi="ar"/>
        </w:rPr>
        <w:t>万元，支出决算为</w:t>
      </w:r>
      <w:r>
        <w:rPr>
          <w:rFonts w:hint="eastAsia" w:ascii="仿宋_GB2312" w:hAnsi="宋体" w:eastAsia="仿宋_GB2312" w:cs="仿宋_GB2312"/>
          <w:color w:val="000000"/>
          <w:kern w:val="0"/>
          <w:szCs w:val="32"/>
          <w:lang w:bidi="ar"/>
        </w:rPr>
        <w:t>1.24</w:t>
      </w:r>
      <w:r>
        <w:rPr>
          <w:rFonts w:ascii="仿宋_GB2312" w:hAnsi="宋体" w:eastAsia="仿宋_GB2312" w:cs="仿宋_GB2312"/>
          <w:color w:val="000000"/>
          <w:kern w:val="0"/>
          <w:szCs w:val="32"/>
          <w:lang w:bidi="ar"/>
        </w:rPr>
        <w:t>万元，完</w:t>
      </w:r>
      <w:r>
        <w:rPr>
          <w:rFonts w:ascii="仿宋_GB2312" w:hAnsi="宋体" w:eastAsia="仿宋_GB2312" w:cs="仿宋_GB2312"/>
          <w:color w:val="000000"/>
          <w:kern w:val="0"/>
          <w:szCs w:val="32"/>
          <w:highlight w:val="none"/>
          <w:lang w:bidi="ar"/>
        </w:rPr>
        <w:t>成</w:t>
      </w:r>
      <w:r>
        <w:rPr>
          <w:rFonts w:hint="eastAsia" w:ascii="仿宋_GB2312" w:hAnsi="宋体" w:eastAsia="仿宋_GB2312" w:cs="仿宋_GB2312"/>
          <w:color w:val="000000"/>
          <w:kern w:val="0"/>
          <w:szCs w:val="32"/>
          <w:highlight w:val="none"/>
          <w:lang w:val="en-US" w:eastAsia="zh-CN" w:bidi="ar"/>
        </w:rPr>
        <w:t>调整</w:t>
      </w:r>
      <w:r>
        <w:rPr>
          <w:rFonts w:ascii="仿宋_GB2312" w:hAnsi="宋体" w:eastAsia="仿宋_GB2312" w:cs="仿宋_GB2312"/>
          <w:color w:val="000000"/>
          <w:kern w:val="0"/>
          <w:szCs w:val="32"/>
          <w:highlight w:val="none"/>
          <w:lang w:bidi="ar"/>
        </w:rPr>
        <w:t>预算的</w:t>
      </w:r>
      <w:r>
        <w:rPr>
          <w:rFonts w:hint="eastAsia" w:ascii="仿宋_GB2312" w:hAnsi="宋体" w:eastAsia="仿宋_GB2312" w:cs="仿宋_GB2312"/>
          <w:color w:val="000000"/>
          <w:kern w:val="0"/>
          <w:szCs w:val="32"/>
          <w:highlight w:val="none"/>
          <w:lang w:val="en-US" w:eastAsia="zh-CN" w:bidi="ar"/>
        </w:rPr>
        <w:t>75</w:t>
      </w:r>
      <w:r>
        <w:rPr>
          <w:rFonts w:hint="eastAsia" w:ascii="仿宋_GB2312" w:hAnsi="宋体" w:eastAsia="仿宋_GB2312" w:cs="仿宋_GB2312"/>
          <w:color w:val="000000"/>
          <w:kern w:val="0"/>
          <w:szCs w:val="32"/>
          <w:lang w:val="en-US" w:eastAsia="zh-CN" w:bidi="ar"/>
        </w:rPr>
        <w:t>.15</w:t>
      </w:r>
      <w:r>
        <w:rPr>
          <w:rFonts w:ascii="仿宋_GB2312" w:hAnsi="宋体" w:eastAsia="仿宋_GB2312" w:cs="仿宋_GB2312"/>
          <w:color w:val="000000"/>
          <w:kern w:val="0"/>
          <w:szCs w:val="32"/>
          <w:lang w:bidi="ar"/>
        </w:rPr>
        <w:t>%。</w:t>
      </w:r>
    </w:p>
    <w:p>
      <w:pPr>
        <w:spacing w:line="360" w:lineRule="auto"/>
        <w:ind w:firstLine="643" w:firstLineChars="200"/>
        <w:rPr>
          <w:rFonts w:ascii="楷体_GB2312" w:hAnsi="宋体" w:eastAsia="楷体_GB2312" w:cs="楷体_GB2312"/>
          <w:b/>
          <w:color w:val="000000"/>
          <w:kern w:val="0"/>
          <w:szCs w:val="32"/>
          <w:lang w:bidi="ar"/>
        </w:rPr>
      </w:pPr>
      <w:r>
        <w:rPr>
          <w:rFonts w:hint="eastAsia" w:ascii="楷体_GB2312" w:hAnsi="宋体" w:eastAsia="楷体_GB2312" w:cs="楷体_GB2312"/>
          <w:b/>
          <w:color w:val="000000"/>
          <w:kern w:val="0"/>
          <w:szCs w:val="32"/>
          <w:lang w:bidi="ar"/>
        </w:rPr>
        <w:t>（二）</w:t>
      </w:r>
      <w:r>
        <w:rPr>
          <w:rFonts w:ascii="楷体_GB2312" w:hAnsi="宋体" w:eastAsia="楷体_GB2312" w:cs="楷体_GB2312"/>
          <w:b/>
          <w:color w:val="000000"/>
          <w:kern w:val="0"/>
          <w:szCs w:val="32"/>
          <w:lang w:bidi="ar"/>
        </w:rPr>
        <w:t>“三公”经费财政拨款支出决算具体情况</w:t>
      </w:r>
      <w:r>
        <w:rPr>
          <w:rFonts w:hint="eastAsia" w:ascii="楷体_GB2312" w:hAnsi="宋体" w:eastAsia="楷体_GB2312" w:cs="楷体_GB2312"/>
          <w:b/>
          <w:color w:val="000000"/>
          <w:kern w:val="0"/>
          <w:szCs w:val="32"/>
          <w:lang w:bidi="ar"/>
        </w:rPr>
        <w:t>说明</w:t>
      </w:r>
      <w:r>
        <w:rPr>
          <w:rFonts w:ascii="楷体_GB2312" w:hAnsi="宋体" w:eastAsia="楷体_GB2312" w:cs="楷体_GB2312"/>
          <w:b/>
          <w:color w:val="000000"/>
          <w:kern w:val="0"/>
          <w:szCs w:val="32"/>
          <w:lang w:bidi="ar"/>
        </w:rPr>
        <w:t>。</w:t>
      </w:r>
    </w:p>
    <w:p>
      <w:pPr>
        <w:widowControl/>
        <w:ind w:firstLine="640" w:firstLineChars="200"/>
        <w:jc w:val="left"/>
      </w:pPr>
      <w:r>
        <w:rPr>
          <w:rFonts w:hint="eastAsia" w:ascii="仿宋_GB2312" w:hAnsi="仿宋_GB2312" w:eastAsia="仿宋_GB2312" w:cs="仿宋_GB2312"/>
          <w:szCs w:val="32"/>
        </w:rPr>
        <w:t>2019年度一般公共预算财政拨款安排的“三公”经费支出中，三公经费支出1.24万元，较上年减少0.83万元，主要原因为：减少用车频率。因公出国(境)费支出0万元，跟上年持平；公务接待费支出0万元，跟上年持平。</w:t>
      </w:r>
    </w:p>
    <w:p>
      <w:pPr>
        <w:ind w:firstLine="643" w:firstLineChars="200"/>
        <w:rPr>
          <w:rFonts w:ascii="仿宋_GB2312" w:hAnsi="仿宋" w:eastAsia="仿宋_GB2312"/>
          <w:b/>
          <w:bCs/>
          <w:szCs w:val="32"/>
        </w:rPr>
      </w:pPr>
      <w:r>
        <w:rPr>
          <w:rFonts w:hint="eastAsia" w:ascii="仿宋_GB2312" w:hAnsi="仿宋" w:eastAsia="仿宋_GB2312"/>
          <w:b/>
          <w:bCs/>
          <w:szCs w:val="32"/>
        </w:rPr>
        <w:t>1.公务用车运行维护费用支出情况</w:t>
      </w:r>
      <w:r>
        <w:rPr>
          <w:rFonts w:hint="eastAsia" w:ascii="楷体_GB2312" w:hAnsi="宋体" w:eastAsia="楷体_GB2312" w:cs="楷体_GB2312"/>
          <w:b/>
          <w:color w:val="000000"/>
          <w:kern w:val="0"/>
          <w:szCs w:val="32"/>
          <w:lang w:bidi="ar"/>
        </w:rPr>
        <w:t>说明</w:t>
      </w:r>
      <w:r>
        <w:rPr>
          <w:rFonts w:hint="eastAsia" w:ascii="仿宋_GB2312" w:hAnsi="仿宋" w:eastAsia="仿宋_GB2312"/>
          <w:b/>
          <w:bCs/>
          <w:szCs w:val="32"/>
        </w:rPr>
        <w:t>。</w:t>
      </w:r>
    </w:p>
    <w:p>
      <w:pPr>
        <w:widowControl/>
        <w:ind w:firstLine="640" w:firstLineChars="200"/>
        <w:jc w:val="left"/>
        <w:rPr>
          <w:rFonts w:ascii="仿宋_GB2312" w:hAnsi="宋体" w:eastAsia="仿宋_GB2312" w:cs="仿宋_GB2312"/>
          <w:color w:val="000000"/>
          <w:kern w:val="0"/>
          <w:szCs w:val="32"/>
          <w:lang w:bidi="ar"/>
        </w:rPr>
      </w:pPr>
      <w:r>
        <w:rPr>
          <w:rFonts w:hint="eastAsia" w:ascii="仿宋_GB2312" w:hAnsi="仿宋" w:eastAsia="仿宋_GB2312"/>
          <w:szCs w:val="32"/>
        </w:rPr>
        <w:t>2019年度</w:t>
      </w:r>
      <w:r>
        <w:rPr>
          <w:rFonts w:hint="eastAsia" w:ascii="仿宋_GB2312" w:hAnsi="仿宋_GB2312" w:eastAsia="仿宋_GB2312" w:cs="仿宋_GB2312"/>
          <w:szCs w:val="32"/>
        </w:rPr>
        <w:t>公务用车运行维护费</w:t>
      </w:r>
      <w:r>
        <w:rPr>
          <w:rFonts w:ascii="仿宋_GB2312" w:hAnsi="宋体" w:eastAsia="仿宋_GB2312" w:cs="仿宋_GB2312"/>
          <w:color w:val="000000"/>
          <w:kern w:val="0"/>
          <w:szCs w:val="32"/>
          <w:lang w:bidi="ar"/>
        </w:rPr>
        <w:t>预算为</w:t>
      </w:r>
      <w:r>
        <w:rPr>
          <w:rFonts w:hint="eastAsia" w:ascii="仿宋_GB2312" w:hAnsi="宋体" w:eastAsia="仿宋_GB2312" w:cs="仿宋_GB2312"/>
          <w:color w:val="000000"/>
          <w:kern w:val="0"/>
          <w:szCs w:val="32"/>
          <w:lang w:val="en-US" w:eastAsia="zh-CN" w:bidi="ar"/>
        </w:rPr>
        <w:t>1.65</w:t>
      </w:r>
      <w:r>
        <w:rPr>
          <w:rFonts w:ascii="仿宋_GB2312" w:hAnsi="宋体" w:eastAsia="仿宋_GB2312" w:cs="仿宋_GB2312"/>
          <w:color w:val="000000"/>
          <w:kern w:val="0"/>
          <w:szCs w:val="32"/>
          <w:lang w:bidi="ar"/>
        </w:rPr>
        <w:t>万元，支出决算为</w:t>
      </w:r>
      <w:r>
        <w:rPr>
          <w:rFonts w:hint="eastAsia" w:ascii="仿宋_GB2312" w:hAnsi="宋体" w:eastAsia="仿宋_GB2312" w:cs="仿宋_GB2312"/>
          <w:color w:val="000000"/>
          <w:kern w:val="0"/>
          <w:szCs w:val="32"/>
          <w:lang w:bidi="ar"/>
        </w:rPr>
        <w:t>1.24</w:t>
      </w:r>
      <w:r>
        <w:rPr>
          <w:rFonts w:ascii="仿宋_GB2312" w:hAnsi="宋体" w:eastAsia="仿宋_GB2312" w:cs="仿宋_GB2312"/>
          <w:color w:val="000000"/>
          <w:kern w:val="0"/>
          <w:szCs w:val="32"/>
          <w:lang w:bidi="ar"/>
        </w:rPr>
        <w:t>万元，完成</w:t>
      </w:r>
      <w:r>
        <w:rPr>
          <w:rFonts w:hint="eastAsia" w:ascii="仿宋_GB2312" w:hAnsi="宋体" w:eastAsia="仿宋_GB2312" w:cs="仿宋_GB2312"/>
          <w:color w:val="000000"/>
          <w:kern w:val="0"/>
          <w:szCs w:val="32"/>
          <w:lang w:val="en-US" w:eastAsia="zh-CN" w:bidi="ar"/>
        </w:rPr>
        <w:t>调整</w:t>
      </w:r>
      <w:r>
        <w:rPr>
          <w:rFonts w:ascii="仿宋_GB2312" w:hAnsi="宋体" w:eastAsia="仿宋_GB2312" w:cs="仿宋_GB2312"/>
          <w:color w:val="000000"/>
          <w:kern w:val="0"/>
          <w:szCs w:val="32"/>
          <w:lang w:bidi="ar"/>
        </w:rPr>
        <w:t>预算的</w:t>
      </w:r>
      <w:r>
        <w:rPr>
          <w:rFonts w:hint="eastAsia" w:ascii="仿宋_GB2312" w:hAnsi="宋体" w:eastAsia="仿宋_GB2312" w:cs="仿宋_GB2312"/>
          <w:color w:val="000000"/>
          <w:kern w:val="0"/>
          <w:szCs w:val="32"/>
          <w:lang w:val="en-US" w:eastAsia="zh-CN" w:bidi="ar"/>
        </w:rPr>
        <w:t>75.15</w:t>
      </w:r>
      <w:r>
        <w:rPr>
          <w:rFonts w:hint="eastAsia" w:ascii="仿宋_GB2312" w:hAnsi="宋体" w:eastAsia="仿宋_GB2312" w:cs="仿宋_GB2312"/>
          <w:color w:val="000000"/>
          <w:kern w:val="0"/>
          <w:szCs w:val="32"/>
          <w:lang w:bidi="ar"/>
        </w:rPr>
        <w:t>%，较上年减少0.83万元，主要原因为：减少用车频率。</w:t>
      </w:r>
    </w:p>
    <w:p>
      <w:pPr>
        <w:ind w:firstLine="643" w:firstLineChars="200"/>
        <w:rPr>
          <w:rFonts w:ascii="楷体_GB2312" w:hAnsi="宋体" w:eastAsia="楷体_GB2312" w:cs="楷体_GB2312"/>
          <w:b/>
          <w:color w:val="000000"/>
          <w:kern w:val="0"/>
          <w:szCs w:val="32"/>
          <w:lang w:bidi="ar"/>
        </w:rPr>
      </w:pPr>
      <w:r>
        <w:rPr>
          <w:rFonts w:hint="eastAsia" w:ascii="楷体_GB2312" w:hAnsi="宋体" w:eastAsia="楷体_GB2312" w:cs="楷体_GB2312"/>
          <w:b/>
          <w:color w:val="000000"/>
          <w:kern w:val="0"/>
          <w:szCs w:val="32"/>
          <w:lang w:bidi="ar"/>
        </w:rPr>
        <w:t>（三）培训费支出情况说明。</w:t>
      </w:r>
    </w:p>
    <w:p>
      <w:pPr>
        <w:widowControl/>
        <w:ind w:firstLine="640" w:firstLineChars="200"/>
        <w:jc w:val="left"/>
        <w:rPr>
          <w:rFonts w:ascii="仿宋_GB2312" w:hAnsi="宋体" w:eastAsia="仿宋_GB2312" w:cs="仿宋_GB2312"/>
          <w:color w:val="000000"/>
          <w:kern w:val="0"/>
          <w:szCs w:val="32"/>
          <w:lang w:bidi="ar"/>
        </w:rPr>
      </w:pPr>
      <w:r>
        <w:rPr>
          <w:rFonts w:hint="eastAsia" w:ascii="仿宋_GB2312" w:hAnsi="仿宋" w:eastAsia="仿宋_GB2312"/>
          <w:szCs w:val="32"/>
        </w:rPr>
        <w:t>2019年度</w:t>
      </w:r>
      <w:r>
        <w:rPr>
          <w:rFonts w:hint="eastAsia" w:ascii="仿宋_GB2312" w:hAnsi="仿宋_GB2312" w:eastAsia="仿宋_GB2312" w:cs="仿宋_GB2312"/>
          <w:szCs w:val="32"/>
        </w:rPr>
        <w:t>培训费</w:t>
      </w:r>
      <w:r>
        <w:rPr>
          <w:rFonts w:ascii="仿宋_GB2312" w:hAnsi="宋体" w:eastAsia="仿宋_GB2312" w:cs="仿宋_GB2312"/>
          <w:color w:val="000000"/>
          <w:kern w:val="0"/>
          <w:szCs w:val="32"/>
          <w:lang w:bidi="ar"/>
        </w:rPr>
        <w:t>预算为</w:t>
      </w:r>
      <w:r>
        <w:rPr>
          <w:rFonts w:hint="eastAsia" w:ascii="仿宋_GB2312" w:hAnsi="宋体" w:eastAsia="仿宋_GB2312" w:cs="仿宋_GB2312"/>
          <w:color w:val="000000"/>
          <w:kern w:val="0"/>
          <w:szCs w:val="32"/>
          <w:lang w:bidi="ar"/>
        </w:rPr>
        <w:t>0.</w:t>
      </w:r>
      <w:r>
        <w:rPr>
          <w:rFonts w:hint="eastAsia" w:ascii="仿宋_GB2312" w:hAnsi="宋体" w:eastAsia="仿宋_GB2312" w:cs="仿宋_GB2312"/>
          <w:color w:val="000000"/>
          <w:kern w:val="0"/>
          <w:szCs w:val="32"/>
          <w:lang w:val="en-US" w:eastAsia="zh-CN" w:bidi="ar"/>
        </w:rPr>
        <w:t>30</w:t>
      </w:r>
      <w:r>
        <w:rPr>
          <w:rFonts w:ascii="仿宋_GB2312" w:hAnsi="宋体" w:eastAsia="仿宋_GB2312" w:cs="仿宋_GB2312"/>
          <w:color w:val="000000"/>
          <w:kern w:val="0"/>
          <w:szCs w:val="32"/>
          <w:lang w:bidi="ar"/>
        </w:rPr>
        <w:t>万元，支出决算为</w:t>
      </w:r>
      <w:r>
        <w:rPr>
          <w:rFonts w:hint="eastAsia" w:ascii="仿宋_GB2312" w:hAnsi="宋体" w:eastAsia="仿宋_GB2312" w:cs="仿宋_GB2312"/>
          <w:color w:val="000000"/>
          <w:kern w:val="0"/>
          <w:szCs w:val="32"/>
          <w:lang w:bidi="ar"/>
        </w:rPr>
        <w:t>0.15</w:t>
      </w:r>
      <w:r>
        <w:rPr>
          <w:rFonts w:ascii="仿宋_GB2312" w:hAnsi="宋体" w:eastAsia="仿宋_GB2312" w:cs="仿宋_GB2312"/>
          <w:color w:val="000000"/>
          <w:kern w:val="0"/>
          <w:szCs w:val="32"/>
          <w:lang w:bidi="ar"/>
        </w:rPr>
        <w:t>万元，完成</w:t>
      </w:r>
      <w:r>
        <w:rPr>
          <w:rFonts w:hint="eastAsia" w:ascii="仿宋_GB2312" w:hAnsi="宋体" w:eastAsia="仿宋_GB2312" w:cs="仿宋_GB2312"/>
          <w:color w:val="000000"/>
          <w:kern w:val="0"/>
          <w:szCs w:val="32"/>
          <w:lang w:val="en-US" w:eastAsia="zh-CN" w:bidi="ar"/>
        </w:rPr>
        <w:t>调整</w:t>
      </w:r>
      <w:r>
        <w:rPr>
          <w:rFonts w:ascii="仿宋_GB2312" w:hAnsi="宋体" w:eastAsia="仿宋_GB2312" w:cs="仿宋_GB2312"/>
          <w:color w:val="000000"/>
          <w:kern w:val="0"/>
          <w:szCs w:val="32"/>
          <w:lang w:bidi="ar"/>
        </w:rPr>
        <w:t>预算的</w:t>
      </w:r>
      <w:r>
        <w:rPr>
          <w:rFonts w:hint="eastAsia" w:ascii="仿宋_GB2312" w:hAnsi="宋体" w:eastAsia="仿宋_GB2312" w:cs="仿宋_GB2312"/>
          <w:color w:val="000000"/>
          <w:kern w:val="0"/>
          <w:szCs w:val="32"/>
          <w:lang w:val="en-US" w:eastAsia="zh-CN" w:bidi="ar"/>
        </w:rPr>
        <w:t>50</w:t>
      </w:r>
      <w:r>
        <w:rPr>
          <w:rFonts w:ascii="仿宋_GB2312" w:hAnsi="宋体" w:eastAsia="仿宋_GB2312" w:cs="仿宋_GB2312"/>
          <w:color w:val="000000"/>
          <w:kern w:val="0"/>
          <w:szCs w:val="32"/>
          <w:lang w:bidi="ar"/>
        </w:rPr>
        <w:t>%</w:t>
      </w:r>
      <w:r>
        <w:rPr>
          <w:rFonts w:hint="eastAsia" w:ascii="仿宋_GB2312" w:hAnsi="宋体" w:eastAsia="仿宋_GB2312" w:cs="仿宋_GB2312"/>
          <w:color w:val="000000"/>
          <w:kern w:val="0"/>
          <w:szCs w:val="32"/>
          <w:lang w:bidi="ar"/>
        </w:rPr>
        <w:t>，</w:t>
      </w:r>
      <w:r>
        <w:rPr>
          <w:rFonts w:hint="eastAsia" w:ascii="仿宋" w:hAnsi="仿宋" w:eastAsia="仿宋" w:cs="楷体"/>
          <w:color w:val="000000"/>
          <w:kern w:val="0"/>
          <w:szCs w:val="32"/>
          <w:lang w:bidi="ar"/>
        </w:rPr>
        <w:t>主要用于专业技术人员继续教育培训。</w:t>
      </w:r>
    </w:p>
    <w:p>
      <w:pPr>
        <w:spacing w:line="360" w:lineRule="auto"/>
        <w:ind w:firstLine="643" w:firstLineChars="200"/>
        <w:rPr>
          <w:rFonts w:ascii="楷体_GB2312" w:hAnsi="宋体" w:eastAsia="楷体_GB2312" w:cs="楷体_GB2312"/>
          <w:b/>
          <w:color w:val="000000"/>
          <w:kern w:val="0"/>
          <w:szCs w:val="32"/>
          <w:lang w:bidi="ar"/>
        </w:rPr>
      </w:pPr>
      <w:r>
        <w:rPr>
          <w:rFonts w:hint="eastAsia" w:ascii="楷体_GB2312" w:hAnsi="宋体" w:eastAsia="楷体_GB2312" w:cs="楷体_GB2312"/>
          <w:b/>
          <w:color w:val="000000"/>
          <w:kern w:val="0"/>
          <w:szCs w:val="32"/>
          <w:lang w:bidi="ar"/>
        </w:rPr>
        <w:t>（四）会议费支出情况说明。</w:t>
      </w:r>
    </w:p>
    <w:p>
      <w:pPr>
        <w:widowControl/>
        <w:ind w:firstLine="640" w:firstLineChars="200"/>
        <w:jc w:val="left"/>
        <w:rPr>
          <w:rFonts w:ascii="仿宋_GB2312" w:hAnsi="宋体" w:eastAsia="仿宋_GB2312" w:cs="仿宋_GB2312"/>
          <w:color w:val="000000"/>
          <w:kern w:val="0"/>
          <w:szCs w:val="32"/>
          <w:lang w:bidi="ar"/>
        </w:rPr>
      </w:pPr>
      <w:r>
        <w:rPr>
          <w:rFonts w:hint="eastAsia" w:ascii="仿宋_GB2312" w:hAnsi="仿宋" w:eastAsia="仿宋_GB2312"/>
          <w:szCs w:val="32"/>
        </w:rPr>
        <w:t>无此项支出</w:t>
      </w:r>
    </w:p>
    <w:p>
      <w:pPr>
        <w:ind w:firstLine="640" w:firstLineChars="200"/>
        <w:rPr>
          <w:rFonts w:ascii="黑体" w:hAnsi="黑体" w:eastAsia="黑体"/>
          <w:color w:val="000000"/>
          <w:kern w:val="0"/>
          <w:szCs w:val="32"/>
          <w:lang w:bidi="ar"/>
        </w:rPr>
      </w:pPr>
      <w:r>
        <w:rPr>
          <w:rFonts w:hint="eastAsia" w:ascii="黑体" w:hAnsi="黑体" w:eastAsia="黑体"/>
          <w:color w:val="000000"/>
          <w:kern w:val="0"/>
          <w:szCs w:val="32"/>
          <w:lang w:bidi="ar"/>
        </w:rPr>
        <w:t xml:space="preserve">八、政府性基金预算财政拨款收入支出情况说明 </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本部门无政府性基金决算收支，并已公开空表</w:t>
      </w:r>
    </w:p>
    <w:p>
      <w:pPr>
        <w:widowControl/>
        <w:ind w:firstLine="640" w:firstLineChars="200"/>
        <w:jc w:val="left"/>
        <w:rPr>
          <w:rFonts w:ascii="黑体" w:hAnsi="黑体" w:eastAsia="黑体"/>
          <w:color w:val="000000"/>
          <w:kern w:val="0"/>
          <w:szCs w:val="32"/>
          <w:lang w:bidi="ar"/>
        </w:rPr>
      </w:pPr>
      <w:r>
        <w:rPr>
          <w:rFonts w:hint="eastAsia" w:ascii="黑体" w:hAnsi="黑体" w:eastAsia="黑体"/>
          <w:color w:val="000000"/>
          <w:kern w:val="0"/>
          <w:szCs w:val="32"/>
          <w:lang w:bidi="ar"/>
        </w:rPr>
        <w:t>九、国有资本经营财政拨款收入支出情况说明</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本部门无国有资本经营决算拨款收支</w:t>
      </w:r>
    </w:p>
    <w:p>
      <w:pPr>
        <w:widowControl/>
        <w:ind w:firstLine="640" w:firstLineChars="200"/>
        <w:jc w:val="left"/>
        <w:rPr>
          <w:rFonts w:ascii="黑体" w:hAnsi="黑体" w:eastAsia="黑体"/>
          <w:color w:val="000000"/>
          <w:kern w:val="0"/>
          <w:szCs w:val="32"/>
          <w:lang w:bidi="ar"/>
        </w:rPr>
      </w:pPr>
      <w:r>
        <w:rPr>
          <w:rFonts w:hint="eastAsia" w:ascii="黑体" w:hAnsi="黑体" w:eastAsia="黑体"/>
          <w:color w:val="000000"/>
          <w:kern w:val="0"/>
          <w:szCs w:val="32"/>
          <w:lang w:bidi="ar"/>
        </w:rPr>
        <w:t>十、预算绩效情况说明</w:t>
      </w:r>
    </w:p>
    <w:p>
      <w:pPr>
        <w:widowControl/>
        <w:ind w:firstLine="643" w:firstLineChars="200"/>
        <w:jc w:val="left"/>
        <w:rPr>
          <w:rFonts w:hint="eastAsia" w:ascii="楷体_GB2312" w:hAnsi="宋体" w:eastAsia="楷体_GB2312" w:cs="楷体_GB2312"/>
          <w:b/>
          <w:color w:val="000000"/>
          <w:kern w:val="0"/>
          <w:szCs w:val="32"/>
          <w:lang w:bidi="ar"/>
        </w:rPr>
      </w:pPr>
      <w:r>
        <w:rPr>
          <w:rFonts w:hint="eastAsia" w:ascii="楷体_GB2312" w:hAnsi="宋体" w:eastAsia="楷体_GB2312" w:cs="楷体_GB2312"/>
          <w:b/>
          <w:color w:val="000000"/>
          <w:kern w:val="0"/>
          <w:szCs w:val="32"/>
          <w:lang w:bidi="ar"/>
        </w:rPr>
        <w:t>（一）</w:t>
      </w:r>
      <w:r>
        <w:rPr>
          <w:rFonts w:ascii="楷体_GB2312" w:hAnsi="宋体" w:eastAsia="楷体_GB2312" w:cs="楷体_GB2312"/>
          <w:b/>
          <w:color w:val="000000"/>
          <w:kern w:val="0"/>
          <w:szCs w:val="32"/>
          <w:lang w:bidi="ar"/>
        </w:rPr>
        <w:t>预算绩效管理工作开展情况</w:t>
      </w:r>
      <w:r>
        <w:rPr>
          <w:rFonts w:hint="eastAsia" w:ascii="楷体_GB2312" w:hAnsi="宋体" w:eastAsia="楷体_GB2312" w:cs="楷体_GB2312"/>
          <w:b/>
          <w:color w:val="000000"/>
          <w:kern w:val="0"/>
          <w:szCs w:val="32"/>
          <w:lang w:bidi="ar"/>
        </w:rPr>
        <w:t>说明</w:t>
      </w:r>
      <w:r>
        <w:rPr>
          <w:rFonts w:ascii="楷体_GB2312" w:hAnsi="宋体" w:eastAsia="楷体_GB2312" w:cs="楷体_GB2312"/>
          <w:b/>
          <w:color w:val="000000"/>
          <w:kern w:val="0"/>
          <w:szCs w:val="32"/>
          <w:lang w:bidi="ar"/>
        </w:rPr>
        <w:t>。</w:t>
      </w:r>
      <w:r>
        <w:rPr>
          <w:rFonts w:hint="eastAsia" w:ascii="楷体_GB2312" w:hAnsi="宋体" w:eastAsia="楷体_GB2312" w:cs="楷体_GB2312"/>
          <w:b/>
          <w:color w:val="000000"/>
          <w:kern w:val="0"/>
          <w:szCs w:val="32"/>
          <w:lang w:bidi="ar"/>
        </w:rPr>
        <w:t xml:space="preserve"> </w:t>
      </w:r>
    </w:p>
    <w:p>
      <w:pPr>
        <w:widowControl/>
        <w:ind w:left="1613" w:leftChars="304" w:hanging="640" w:hangingChars="200"/>
        <w:jc w:val="left"/>
        <w:rPr>
          <w:rFonts w:ascii="楷体_GB2312" w:hAnsi="宋体" w:eastAsia="楷体_GB2312" w:cs="楷体_GB2312"/>
          <w:b/>
          <w:color w:val="000000"/>
          <w:kern w:val="0"/>
          <w:szCs w:val="32"/>
          <w:lang w:bidi="ar"/>
        </w:rPr>
      </w:pPr>
      <w:r>
        <w:rPr>
          <w:rFonts w:hint="eastAsia" w:ascii="仿宋_GB2312" w:hAnsi="仿宋_GB2312" w:eastAsia="仿宋_GB2312" w:cs="仿宋_GB2312"/>
          <w:szCs w:val="32"/>
          <w:lang w:val="en-US" w:eastAsia="zh-CN"/>
        </w:rPr>
        <w:t>本项工作未开展</w:t>
      </w:r>
      <w:r>
        <w:rPr>
          <w:rFonts w:hint="eastAsia" w:ascii="仿宋_GB2312" w:hAnsi="仿宋_GB2312" w:eastAsia="仿宋_GB2312" w:cs="仿宋_GB2312"/>
          <w:szCs w:val="32"/>
        </w:rPr>
        <w:t xml:space="preserve">   </w:t>
      </w:r>
      <w:r>
        <w:rPr>
          <w:rFonts w:hint="eastAsia" w:ascii="楷体_GB2312" w:hAnsi="宋体" w:eastAsia="楷体_GB2312" w:cs="楷体_GB2312"/>
          <w:b/>
          <w:color w:val="000000"/>
          <w:kern w:val="0"/>
          <w:szCs w:val="32"/>
          <w:lang w:bidi="ar"/>
        </w:rPr>
        <w:t xml:space="preserve"> </w:t>
      </w:r>
    </w:p>
    <w:p>
      <w:pPr>
        <w:ind w:firstLine="640" w:firstLineChars="200"/>
        <w:rPr>
          <w:rFonts w:ascii="黑体" w:hAnsi="黑体" w:eastAsia="黑体"/>
          <w:szCs w:val="32"/>
        </w:rPr>
      </w:pPr>
      <w:r>
        <w:rPr>
          <w:rFonts w:hint="eastAsia" w:ascii="黑体" w:hAnsi="黑体" w:eastAsia="黑体"/>
          <w:color w:val="000000"/>
          <w:kern w:val="0"/>
          <w:szCs w:val="32"/>
          <w:lang w:bidi="ar"/>
        </w:rPr>
        <w:t>十一、其他重要事项说明</w:t>
      </w:r>
    </w:p>
    <w:p>
      <w:pPr>
        <w:widowControl/>
        <w:ind w:firstLine="643" w:firstLineChars="200"/>
        <w:jc w:val="left"/>
      </w:pPr>
      <w:r>
        <w:rPr>
          <w:rFonts w:ascii="楷体_GB2312" w:hAnsi="宋体" w:eastAsia="楷体_GB2312" w:cs="楷体_GB2312"/>
          <w:b/>
          <w:color w:val="000000"/>
          <w:kern w:val="0"/>
          <w:szCs w:val="32"/>
          <w:lang w:bidi="ar"/>
        </w:rPr>
        <w:t>（一）机关运行经费支出情况</w:t>
      </w:r>
      <w:r>
        <w:rPr>
          <w:rFonts w:hint="eastAsia" w:ascii="楷体_GB2312" w:hAnsi="宋体" w:eastAsia="楷体_GB2312" w:cs="楷体_GB2312"/>
          <w:b/>
          <w:color w:val="000000"/>
          <w:kern w:val="0"/>
          <w:szCs w:val="32"/>
          <w:lang w:bidi="ar"/>
        </w:rPr>
        <w:t>说明</w:t>
      </w:r>
      <w:r>
        <w:rPr>
          <w:rFonts w:ascii="楷体_GB2312" w:hAnsi="宋体" w:eastAsia="楷体_GB2312" w:cs="楷体_GB2312"/>
          <w:b/>
          <w:color w:val="000000"/>
          <w:kern w:val="0"/>
          <w:szCs w:val="32"/>
          <w:lang w:bidi="ar"/>
        </w:rPr>
        <w:t xml:space="preserve">。 </w:t>
      </w:r>
    </w:p>
    <w:p>
      <w:pPr>
        <w:widowControl/>
        <w:ind w:firstLine="640" w:firstLineChars="200"/>
        <w:jc w:val="left"/>
        <w:rPr>
          <w:rFonts w:hint="eastAsia" w:ascii="仿宋_GB2312" w:hAnsi="仿宋_GB2312" w:eastAsia="仿宋_GB2312" w:cs="仿宋_GB2312"/>
          <w:szCs w:val="32"/>
        </w:rPr>
      </w:pPr>
      <w:r>
        <w:rPr>
          <w:rFonts w:hint="eastAsia" w:ascii="仿宋_GB2312" w:hAnsi="仿宋_GB2312" w:eastAsia="仿宋_GB2312" w:cs="仿宋_GB2312"/>
          <w:szCs w:val="32"/>
        </w:rPr>
        <w:t>本单位属于事业单位，不涉及机关运行经费。</w:t>
      </w:r>
    </w:p>
    <w:p>
      <w:pPr>
        <w:widowControl/>
        <w:ind w:firstLine="643" w:firstLineChars="200"/>
        <w:jc w:val="left"/>
        <w:rPr>
          <w:rFonts w:ascii="楷体_GB2312" w:hAnsi="宋体" w:eastAsia="楷体_GB2312" w:cs="楷体_GB2312"/>
          <w:b/>
          <w:color w:val="000000"/>
          <w:kern w:val="0"/>
          <w:szCs w:val="32"/>
          <w:lang w:bidi="ar"/>
        </w:rPr>
      </w:pPr>
      <w:r>
        <w:rPr>
          <w:rFonts w:hint="eastAsia" w:ascii="楷体_GB2312" w:hAnsi="宋体" w:eastAsia="楷体_GB2312" w:cs="楷体_GB2312"/>
          <w:b/>
          <w:color w:val="000000"/>
          <w:kern w:val="0"/>
          <w:szCs w:val="32"/>
          <w:lang w:bidi="ar"/>
        </w:rPr>
        <w:t>（二）政府采购支出情况说明。</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本部门201</w:t>
      </w:r>
      <w:r>
        <w:rPr>
          <w:rFonts w:ascii="仿宋_GB2312" w:hAnsi="仿宋_GB2312" w:eastAsia="仿宋_GB2312" w:cs="仿宋_GB2312"/>
          <w:szCs w:val="32"/>
        </w:rPr>
        <w:t>9</w:t>
      </w:r>
      <w:r>
        <w:rPr>
          <w:rFonts w:hint="eastAsia" w:ascii="仿宋_GB2312" w:hAnsi="仿宋_GB2312" w:eastAsia="仿宋_GB2312" w:cs="仿宋_GB2312"/>
          <w:szCs w:val="32"/>
        </w:rPr>
        <w:t>年度无政府采购支出</w:t>
      </w:r>
    </w:p>
    <w:p>
      <w:pPr>
        <w:widowControl/>
        <w:ind w:firstLine="643" w:firstLineChars="200"/>
        <w:jc w:val="left"/>
        <w:rPr>
          <w:rFonts w:ascii="楷体_GB2312" w:hAnsi="宋体" w:eastAsia="楷体_GB2312" w:cs="楷体_GB2312"/>
          <w:b/>
          <w:color w:val="000000"/>
          <w:kern w:val="0"/>
          <w:szCs w:val="32"/>
          <w:lang w:bidi="ar"/>
        </w:rPr>
      </w:pPr>
      <w:r>
        <w:rPr>
          <w:rFonts w:hint="eastAsia" w:ascii="楷体_GB2312" w:hAnsi="宋体" w:eastAsia="楷体_GB2312" w:cs="楷体_GB2312"/>
          <w:b/>
          <w:color w:val="000000"/>
          <w:kern w:val="0"/>
          <w:szCs w:val="32"/>
          <w:lang w:bidi="ar"/>
        </w:rPr>
        <w:t>（三）国有资产占用及购置情况说明。</w:t>
      </w:r>
    </w:p>
    <w:p>
      <w:pPr>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截至2019年末，本部门所属单位共有车辆1辆。单价50万元以上的通用设备1台；单价100万元以上的通用设备0台。2018年当年购置车辆0辆；购置单价50万元以上的设备0台（套）；购置单价100万元以上的通用设备0台。</w:t>
      </w:r>
    </w:p>
    <w:p>
      <w:pPr>
        <w:ind w:firstLine="640"/>
        <w:rPr>
          <w:rFonts w:ascii="仿宋_GB2312" w:hAnsi="仿宋_GB2312" w:eastAsia="仿宋_GB2312" w:cs="仿宋_GB2312"/>
          <w:szCs w:val="32"/>
        </w:rPr>
      </w:pPr>
    </w:p>
    <w:p>
      <w:pPr>
        <w:numPr>
          <w:ilvl w:val="0"/>
          <w:numId w:val="2"/>
        </w:numPr>
        <w:jc w:val="center"/>
        <w:rPr>
          <w:rFonts w:ascii="黑体" w:hAnsi="宋体" w:eastAsia="黑体"/>
          <w:color w:val="000000"/>
          <w:kern w:val="0"/>
          <w:sz w:val="44"/>
          <w:szCs w:val="44"/>
          <w:lang w:bidi="ar"/>
        </w:rPr>
      </w:pPr>
      <w:r>
        <w:rPr>
          <w:rFonts w:hint="eastAsia" w:ascii="黑体" w:hAnsi="宋体" w:eastAsia="黑体"/>
          <w:color w:val="000000"/>
          <w:kern w:val="0"/>
          <w:sz w:val="44"/>
          <w:szCs w:val="44"/>
          <w:lang w:bidi="ar"/>
        </w:rPr>
        <w:t>专业名词解释</w:t>
      </w:r>
    </w:p>
    <w:p>
      <w:pPr>
        <w:rPr>
          <w:rFonts w:ascii="黑体" w:hAnsi="宋体" w:eastAsia="黑体"/>
          <w:color w:val="000000"/>
          <w:kern w:val="0"/>
          <w:sz w:val="44"/>
          <w:szCs w:val="44"/>
          <w:lang w:bidi="ar"/>
        </w:rPr>
      </w:pPr>
    </w:p>
    <w:p>
      <w:pPr>
        <w:widowControl/>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文字说明。专业名词解释可由部门根据业务内容等自行选择。</w:t>
      </w:r>
    </w:p>
    <w:p>
      <w:pPr>
        <w:ind w:firstLine="643" w:firstLineChars="200"/>
        <w:rPr>
          <w:rFonts w:ascii="仿宋_GB2312" w:hAnsi="仿宋_GB2312" w:eastAsia="仿宋_GB2312" w:cs="仿宋_GB2312"/>
          <w:szCs w:val="32"/>
        </w:rPr>
      </w:pPr>
      <w:r>
        <w:rPr>
          <w:rFonts w:hint="eastAsia" w:ascii="仿宋_GB2312" w:hAnsi="仿宋_GB2312" w:eastAsia="仿宋_GB2312" w:cs="仿宋_GB2312"/>
          <w:b/>
          <w:bCs/>
          <w:szCs w:val="32"/>
        </w:rPr>
        <w:t>1.基本支出</w:t>
      </w:r>
      <w:r>
        <w:rPr>
          <w:rFonts w:hint="eastAsia" w:ascii="仿宋_GB2312" w:hAnsi="仿宋_GB2312" w:eastAsia="仿宋_GB2312" w:cs="仿宋_GB2312"/>
          <w:szCs w:val="32"/>
        </w:rPr>
        <w:t>：指为保障机构正常运转、完成日常工作任务而发生的各项支出。</w:t>
      </w:r>
    </w:p>
    <w:p>
      <w:pPr>
        <w:ind w:firstLine="643" w:firstLineChars="200"/>
        <w:rPr>
          <w:rFonts w:ascii="仿宋_GB2312" w:hAnsi="仿宋_GB2312" w:eastAsia="仿宋_GB2312" w:cs="仿宋_GB2312"/>
          <w:szCs w:val="32"/>
        </w:rPr>
      </w:pPr>
      <w:r>
        <w:rPr>
          <w:rFonts w:hint="eastAsia" w:ascii="仿宋_GB2312" w:hAnsi="仿宋_GB2312" w:eastAsia="仿宋_GB2312" w:cs="仿宋_GB2312"/>
          <w:b/>
          <w:bCs/>
          <w:szCs w:val="32"/>
        </w:rPr>
        <w:t>2.项目支出</w:t>
      </w:r>
      <w:r>
        <w:rPr>
          <w:rFonts w:hint="eastAsia" w:ascii="仿宋_GB2312" w:hAnsi="仿宋_GB2312" w:eastAsia="仿宋_GB2312" w:cs="仿宋_GB2312"/>
          <w:szCs w:val="32"/>
        </w:rPr>
        <w:t>：指单位为完成特定的行政工作任务或事业发展目标所发生的各项支出。</w:t>
      </w:r>
    </w:p>
    <w:p>
      <w:pPr>
        <w:ind w:firstLine="640"/>
        <w:rPr>
          <w:rFonts w:ascii="仿宋_GB2312" w:hAnsi="仿宋_GB2312" w:eastAsia="仿宋_GB2312" w:cs="仿宋_GB2312"/>
          <w:szCs w:val="32"/>
        </w:rPr>
      </w:pPr>
      <w:r>
        <w:rPr>
          <w:rFonts w:hint="eastAsia" w:ascii="仿宋_GB2312" w:hAnsi="仿宋_GB2312" w:eastAsia="仿宋_GB2312" w:cs="仿宋_GB2312"/>
          <w:b/>
          <w:bCs/>
          <w:szCs w:val="32"/>
        </w:rPr>
        <w:t>3.“三公”经费</w:t>
      </w:r>
      <w:r>
        <w:rPr>
          <w:rFonts w:hint="eastAsia" w:ascii="仿宋_GB2312" w:hAnsi="仿宋_GB2312" w:eastAsia="仿宋_GB2312" w:cs="仿宋_GB2312"/>
          <w:szCs w:val="32"/>
        </w:rPr>
        <w:t>：指部门使用一般公共预算财政拨款安排的因公出国（境）费、公务用车购置及运行费和公务接待费支出。</w:t>
      </w:r>
    </w:p>
    <w:p>
      <w:pPr>
        <w:ind w:firstLine="640"/>
        <w:rPr>
          <w:rFonts w:ascii="仿宋_GB2312" w:hAnsi="仿宋_GB2312" w:eastAsia="仿宋_GB2312" w:cs="仿宋_GB2312"/>
          <w:szCs w:val="32"/>
        </w:rPr>
      </w:pPr>
      <w:r>
        <w:rPr>
          <w:rFonts w:hint="eastAsia" w:ascii="仿宋_GB2312" w:hAnsi="仿宋_GB2312" w:eastAsia="仿宋_GB2312" w:cs="仿宋_GB2312"/>
          <w:b/>
          <w:bCs/>
          <w:szCs w:val="32"/>
        </w:rPr>
        <w:t>4.财政拨款收入</w:t>
      </w:r>
      <w:r>
        <w:rPr>
          <w:rFonts w:hint="eastAsia" w:ascii="仿宋_GB2312" w:hAnsi="仿宋_GB2312" w:eastAsia="仿宋_GB2312" w:cs="仿宋_GB2312"/>
          <w:szCs w:val="32"/>
        </w:rPr>
        <w:t>：指本级财政当年拨付的资金。</w:t>
      </w:r>
    </w:p>
    <w:p>
      <w:pPr>
        <w:ind w:firstLine="640"/>
        <w:rPr>
          <w:rFonts w:ascii="仿宋_GB2312" w:hAnsi="仿宋_GB2312" w:eastAsia="仿宋_GB2312" w:cs="仿宋_GB2312"/>
          <w:szCs w:val="32"/>
        </w:rPr>
      </w:pPr>
      <w:r>
        <w:rPr>
          <w:rFonts w:hint="eastAsia" w:ascii="仿宋_GB2312" w:hAnsi="仿宋_GB2312" w:eastAsia="仿宋_GB2312" w:cs="仿宋_GB2312"/>
          <w:b/>
          <w:bCs/>
          <w:szCs w:val="32"/>
        </w:rPr>
        <w:t>5.调整预算数：</w:t>
      </w:r>
      <w:r>
        <w:rPr>
          <w:rFonts w:hint="eastAsia" w:ascii="仿宋_GB2312" w:hAnsi="宋体" w:eastAsia="仿宋_GB2312"/>
          <w:bCs/>
          <w:szCs w:val="32"/>
        </w:rPr>
        <w:t>填列经调整后的全年预算数，包括年初预算数和预算调增调减数</w:t>
      </w:r>
      <w:r>
        <w:rPr>
          <w:rFonts w:hint="eastAsia" w:ascii="仿宋_GB2312" w:eastAsia="仿宋_GB2312"/>
          <w:bCs/>
          <w:szCs w:val="32"/>
        </w:rPr>
        <w:t>，即：调整预算数＝年初预算数＋预算调增数－预算调减数</w:t>
      </w:r>
      <w:r>
        <w:rPr>
          <w:rFonts w:hint="eastAsia" w:ascii="仿宋_GB2312" w:hAnsi="宋体" w:eastAsia="仿宋_GB2312"/>
          <w:bCs/>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9203257"/>
      <w:docPartObj>
        <w:docPartGallery w:val="autotext"/>
      </w:docPartObj>
    </w:sdtPr>
    <w:sdtContent>
      <w:sdt>
        <w:sdtPr>
          <w:id w:val="-1669238322"/>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32710"/>
    <w:multiLevelType w:val="singleLevel"/>
    <w:tmpl w:val="9F232710"/>
    <w:lvl w:ilvl="0" w:tentative="0">
      <w:start w:val="1"/>
      <w:numFmt w:val="chineseCounting"/>
      <w:suff w:val="space"/>
      <w:lvlText w:val="第%1部分"/>
      <w:lvlJc w:val="left"/>
      <w:rPr>
        <w:rFonts w:hint="eastAsia"/>
      </w:rPr>
    </w:lvl>
  </w:abstractNum>
  <w:abstractNum w:abstractNumId="1">
    <w:nsid w:val="39BEA4A8"/>
    <w:multiLevelType w:val="singleLevel"/>
    <w:tmpl w:val="39BEA4A8"/>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506C4"/>
    <w:rsid w:val="00135582"/>
    <w:rsid w:val="00157940"/>
    <w:rsid w:val="002549DE"/>
    <w:rsid w:val="002662D1"/>
    <w:rsid w:val="00363675"/>
    <w:rsid w:val="003E017B"/>
    <w:rsid w:val="00494F47"/>
    <w:rsid w:val="005349F7"/>
    <w:rsid w:val="005637FC"/>
    <w:rsid w:val="005C1BB0"/>
    <w:rsid w:val="0063516E"/>
    <w:rsid w:val="00645F6D"/>
    <w:rsid w:val="007C60CE"/>
    <w:rsid w:val="008A1CFE"/>
    <w:rsid w:val="00986C1A"/>
    <w:rsid w:val="00AD6C4F"/>
    <w:rsid w:val="00B73DA6"/>
    <w:rsid w:val="00BA0EEA"/>
    <w:rsid w:val="00CF09D7"/>
    <w:rsid w:val="00D21B61"/>
    <w:rsid w:val="00D714BD"/>
    <w:rsid w:val="00D95EAC"/>
    <w:rsid w:val="00E634D9"/>
    <w:rsid w:val="0157325A"/>
    <w:rsid w:val="050503B7"/>
    <w:rsid w:val="05211941"/>
    <w:rsid w:val="05644376"/>
    <w:rsid w:val="079A45BC"/>
    <w:rsid w:val="086C1E64"/>
    <w:rsid w:val="0DC1594A"/>
    <w:rsid w:val="0E246C1B"/>
    <w:rsid w:val="16AE7D93"/>
    <w:rsid w:val="197F7293"/>
    <w:rsid w:val="19A86DC3"/>
    <w:rsid w:val="1AF22409"/>
    <w:rsid w:val="1B38140D"/>
    <w:rsid w:val="1D8B0C78"/>
    <w:rsid w:val="1EA510CE"/>
    <w:rsid w:val="20404583"/>
    <w:rsid w:val="20B96E79"/>
    <w:rsid w:val="20E506C4"/>
    <w:rsid w:val="216B22E1"/>
    <w:rsid w:val="2992086A"/>
    <w:rsid w:val="29DE594A"/>
    <w:rsid w:val="2CD41C5F"/>
    <w:rsid w:val="2CE7640B"/>
    <w:rsid w:val="302719C0"/>
    <w:rsid w:val="30DF4759"/>
    <w:rsid w:val="31494342"/>
    <w:rsid w:val="31BD33B7"/>
    <w:rsid w:val="31E50014"/>
    <w:rsid w:val="324423E2"/>
    <w:rsid w:val="3669223E"/>
    <w:rsid w:val="38FB22B6"/>
    <w:rsid w:val="38FC460D"/>
    <w:rsid w:val="3CCB7F3E"/>
    <w:rsid w:val="3D611102"/>
    <w:rsid w:val="3D904069"/>
    <w:rsid w:val="3EFE38F4"/>
    <w:rsid w:val="3FCA23EC"/>
    <w:rsid w:val="40666727"/>
    <w:rsid w:val="406913D4"/>
    <w:rsid w:val="4128333B"/>
    <w:rsid w:val="424D60E4"/>
    <w:rsid w:val="42FA4769"/>
    <w:rsid w:val="43570203"/>
    <w:rsid w:val="43BC1030"/>
    <w:rsid w:val="45E17EA2"/>
    <w:rsid w:val="47964FBE"/>
    <w:rsid w:val="47CD409F"/>
    <w:rsid w:val="4A1752A2"/>
    <w:rsid w:val="4B18398F"/>
    <w:rsid w:val="4EEC4608"/>
    <w:rsid w:val="528C5337"/>
    <w:rsid w:val="52AC7AB3"/>
    <w:rsid w:val="54207C4C"/>
    <w:rsid w:val="55111FEE"/>
    <w:rsid w:val="596D661C"/>
    <w:rsid w:val="610D2736"/>
    <w:rsid w:val="616C29A8"/>
    <w:rsid w:val="69A157A9"/>
    <w:rsid w:val="6B3B79EC"/>
    <w:rsid w:val="6B5F7F59"/>
    <w:rsid w:val="6F094735"/>
    <w:rsid w:val="71564DAF"/>
    <w:rsid w:val="73431FE5"/>
    <w:rsid w:val="778B0394"/>
    <w:rsid w:val="79DE6EEC"/>
    <w:rsid w:val="7B6D5E4A"/>
    <w:rsid w:val="7BC965F6"/>
    <w:rsid w:val="7C9B6327"/>
    <w:rsid w:val="7F1842C5"/>
    <w:rsid w:val="7FE12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Times New Roman"/>
      <w:kern w:val="2"/>
      <w:sz w:val="3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sz w:val="21"/>
    </w:rPr>
  </w:style>
  <w:style w:type="paragraph" w:styleId="4">
    <w:name w:val="Balloon Text"/>
    <w:basedOn w:val="1"/>
    <w:link w:val="19"/>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11"/>
    <w:basedOn w:val="9"/>
    <w:qFormat/>
    <w:uiPriority w:val="0"/>
    <w:rPr>
      <w:rFonts w:hint="eastAsia" w:ascii="宋体" w:hAnsi="宋体" w:eastAsia="宋体" w:cs="宋体"/>
      <w:b/>
      <w:color w:val="000000"/>
      <w:sz w:val="32"/>
      <w:szCs w:val="32"/>
      <w:u w:val="none"/>
    </w:rPr>
  </w:style>
  <w:style w:type="character" w:customStyle="1" w:styleId="11">
    <w:name w:val="font91"/>
    <w:basedOn w:val="9"/>
    <w:qFormat/>
    <w:uiPriority w:val="0"/>
    <w:rPr>
      <w:rFonts w:hint="eastAsia" w:ascii="宋体" w:hAnsi="宋体" w:eastAsia="宋体" w:cs="宋体"/>
      <w:color w:val="000000"/>
      <w:sz w:val="32"/>
      <w:szCs w:val="32"/>
      <w:u w:val="none"/>
    </w:rPr>
  </w:style>
  <w:style w:type="character" w:customStyle="1" w:styleId="12">
    <w:name w:val="font51"/>
    <w:basedOn w:val="9"/>
    <w:qFormat/>
    <w:uiPriority w:val="0"/>
    <w:rPr>
      <w:rFonts w:hint="eastAsia" w:ascii="宋体" w:hAnsi="宋体" w:eastAsia="宋体" w:cs="宋体"/>
      <w:color w:val="000000"/>
      <w:sz w:val="20"/>
      <w:szCs w:val="20"/>
      <w:u w:val="none"/>
    </w:rPr>
  </w:style>
  <w:style w:type="character" w:customStyle="1" w:styleId="13">
    <w:name w:val="font101"/>
    <w:basedOn w:val="9"/>
    <w:qFormat/>
    <w:uiPriority w:val="0"/>
    <w:rPr>
      <w:rFonts w:hint="eastAsia" w:ascii="宋体" w:hAnsi="宋体" w:eastAsia="宋体" w:cs="宋体"/>
      <w:color w:val="000000"/>
      <w:sz w:val="20"/>
      <w:szCs w:val="20"/>
      <w:u w:val="none"/>
    </w:rPr>
  </w:style>
  <w:style w:type="character" w:customStyle="1" w:styleId="14">
    <w:name w:val="font21"/>
    <w:basedOn w:val="9"/>
    <w:qFormat/>
    <w:uiPriority w:val="0"/>
    <w:rPr>
      <w:rFonts w:hint="eastAsia" w:ascii="宋体" w:hAnsi="宋体" w:eastAsia="宋体" w:cs="宋体"/>
      <w:color w:val="000000"/>
      <w:sz w:val="18"/>
      <w:szCs w:val="18"/>
      <w:u w:val="none"/>
    </w:rPr>
  </w:style>
  <w:style w:type="character" w:customStyle="1" w:styleId="15">
    <w:name w:val="font112"/>
    <w:basedOn w:val="9"/>
    <w:qFormat/>
    <w:uiPriority w:val="0"/>
    <w:rPr>
      <w:rFonts w:hint="eastAsia" w:ascii="宋体" w:hAnsi="宋体" w:eastAsia="宋体" w:cs="宋体"/>
      <w:color w:val="000000"/>
      <w:sz w:val="20"/>
      <w:szCs w:val="20"/>
      <w:u w:val="none"/>
    </w:rPr>
  </w:style>
  <w:style w:type="character" w:customStyle="1" w:styleId="16">
    <w:name w:val="font61"/>
    <w:basedOn w:val="9"/>
    <w:qFormat/>
    <w:uiPriority w:val="0"/>
    <w:rPr>
      <w:rFonts w:hint="eastAsia" w:ascii="宋体" w:hAnsi="宋体" w:eastAsia="宋体" w:cs="宋体"/>
      <w:color w:val="000000"/>
      <w:sz w:val="24"/>
      <w:szCs w:val="24"/>
      <w:u w:val="none"/>
    </w:rPr>
  </w:style>
  <w:style w:type="character" w:customStyle="1" w:styleId="17">
    <w:name w:val="页眉 Char"/>
    <w:basedOn w:val="9"/>
    <w:link w:val="6"/>
    <w:qFormat/>
    <w:uiPriority w:val="0"/>
    <w:rPr>
      <w:rFonts w:ascii="Calibri" w:hAnsi="Calibri" w:eastAsia="方正仿宋简体"/>
      <w:kern w:val="2"/>
      <w:sz w:val="18"/>
      <w:szCs w:val="18"/>
    </w:rPr>
  </w:style>
  <w:style w:type="character" w:customStyle="1" w:styleId="18">
    <w:name w:val="页脚 Char"/>
    <w:basedOn w:val="9"/>
    <w:link w:val="5"/>
    <w:qFormat/>
    <w:uiPriority w:val="99"/>
    <w:rPr>
      <w:rFonts w:ascii="Calibri" w:hAnsi="Calibri" w:eastAsia="方正仿宋简体"/>
      <w:kern w:val="2"/>
      <w:sz w:val="18"/>
      <w:szCs w:val="18"/>
    </w:rPr>
  </w:style>
  <w:style w:type="character" w:customStyle="1" w:styleId="19">
    <w:name w:val="批注框文本 Char"/>
    <w:basedOn w:val="9"/>
    <w:link w:val="4"/>
    <w:qFormat/>
    <w:uiPriority w:val="0"/>
    <w:rPr>
      <w:rFonts w:ascii="Calibri" w:hAnsi="Calibri" w:eastAsia="方正仿宋简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ghzj\Desktop\&#26032;&#24314;%20Microsoft%20Excel%20&#24037;&#20316;&#34920;.xlsx"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C:\Users\ghzj\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361111111111"/>
          <c:y val="0.0349537037037037"/>
          <c:w val="0.700833333333333"/>
          <c:h val="0.827546296296296"/>
        </c:manualLayout>
      </c:layout>
      <c:barChart>
        <c:barDir val="col"/>
        <c:grouping val="clustered"/>
        <c:varyColors val="0"/>
        <c:ser>
          <c:idx val="0"/>
          <c:order val="0"/>
          <c:tx>
            <c:strRef>
              <c:f>Sheet1!$A$2</c:f>
              <c:strCache>
                <c:ptCount val="1"/>
                <c:pt idx="0">
                  <c:v>北杜文管所</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Sheet1!$B$1:$C$1</c:f>
              <c:strCache>
                <c:ptCount val="2"/>
                <c:pt idx="0">
                  <c:v>编制人数</c:v>
                </c:pt>
                <c:pt idx="1">
                  <c:v>实有人数</c:v>
                </c:pt>
              </c:strCache>
            </c:strRef>
          </c:cat>
          <c:val>
            <c:numRef>
              <c:f>Sheet1!$B$2:$C$2</c:f>
              <c:numCache>
                <c:formatCode>General</c:formatCode>
                <c:ptCount val="2"/>
                <c:pt idx="0">
                  <c:v>5</c:v>
                </c:pt>
                <c:pt idx="1">
                  <c:v>9</c:v>
                </c:pt>
              </c:numCache>
            </c:numRef>
          </c:val>
        </c:ser>
        <c:ser>
          <c:idx val="1"/>
          <c:order val="1"/>
          <c:tx>
            <c:strRef>
              <c:f>Sheet1!$A$3</c:f>
              <c:strCache>
                <c:ptCount val="1"/>
                <c:pt idx="0">
                  <c:v>顺陵文管所</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Sheet1!$B$1:$C$1</c:f>
              <c:strCache>
                <c:ptCount val="2"/>
                <c:pt idx="0">
                  <c:v>编制人数</c:v>
                </c:pt>
                <c:pt idx="1">
                  <c:v>实有人数</c:v>
                </c:pt>
              </c:strCache>
            </c:strRef>
          </c:cat>
          <c:val>
            <c:numRef>
              <c:f>Sheet1!$B$3:$C$3</c:f>
              <c:numCache>
                <c:formatCode>General</c:formatCode>
                <c:ptCount val="2"/>
                <c:pt idx="0">
                  <c:v>8</c:v>
                </c:pt>
                <c:pt idx="1">
                  <c:v>12</c:v>
                </c:pt>
              </c:numCache>
            </c:numRef>
          </c:val>
        </c:ser>
        <c:dLbls>
          <c:showLegendKey val="0"/>
          <c:showVal val="0"/>
          <c:showCatName val="0"/>
          <c:showSerName val="0"/>
          <c:showPercent val="0"/>
          <c:showBubbleSize val="0"/>
        </c:dLbls>
        <c:gapWidth val="150"/>
        <c:axId val="463946112"/>
        <c:axId val="463947648"/>
      </c:barChart>
      <c:catAx>
        <c:axId val="46394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63947648"/>
        <c:crosses val="autoZero"/>
        <c:auto val="1"/>
        <c:lblAlgn val="ctr"/>
        <c:lblOffset val="100"/>
        <c:noMultiLvlLbl val="0"/>
      </c:catAx>
      <c:valAx>
        <c:axId val="4639476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63946112"/>
        <c:crosses val="autoZero"/>
        <c:crossBetween val="between"/>
      </c:valAx>
    </c:plotArea>
    <c:legend>
      <c:legendPos val="r"/>
      <c:layout>
        <c:manualLayout>
          <c:xMode val="edge"/>
          <c:yMode val="edge"/>
          <c:x val="0.807916666666667"/>
          <c:y val="0.85503383227393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收入占比图                    </a:t>
            </a:r>
            <a:r>
              <a:rPr sz="900"/>
              <a:t>单位 ：万元</a:t>
            </a:r>
            <a:endParaRPr sz="900"/>
          </a:p>
        </c:rich>
      </c:tx>
      <c:layout>
        <c:manualLayout>
          <c:xMode val="edge"/>
          <c:yMode val="edge"/>
          <c:x val="0.361597222222222"/>
          <c:y val="0.0208333333333333"/>
        </c:manualLayout>
      </c:layout>
      <c:overlay val="0"/>
      <c:spPr>
        <a:noFill/>
        <a:ln>
          <a:noFill/>
        </a:ln>
        <a:effectLst/>
      </c:spPr>
    </c:title>
    <c:autoTitleDeleted val="0"/>
    <c:plotArea>
      <c:layout/>
      <c:pieChart>
        <c:varyColors val="1"/>
        <c:ser>
          <c:idx val="0"/>
          <c:order val="0"/>
          <c:spPr>
            <a:ln w="19050">
              <a:solidFill>
                <a:schemeClr val="tx1">
                  <a:lumMod val="65000"/>
                  <a:lumOff val="35000"/>
                </a:schemeClr>
              </a:solidFill>
            </a:ln>
          </c:spPr>
          <c:explosion val="0"/>
          <c:dPt>
            <c:idx val="0"/>
            <c:bubble3D val="0"/>
            <c:spPr>
              <a:solidFill>
                <a:schemeClr val="accent1"/>
              </a:solidFill>
              <a:ln w="19050">
                <a:solidFill>
                  <a:schemeClr val="tx1">
                    <a:lumMod val="65000"/>
                    <a:lumOff val="35000"/>
                  </a:schemeClr>
                </a:solidFill>
              </a:ln>
              <a:effectLst/>
            </c:spPr>
          </c:dPt>
          <c:dPt>
            <c:idx val="1"/>
            <c:bubble3D val="0"/>
            <c:explosion val="35"/>
            <c:spPr>
              <a:solidFill>
                <a:schemeClr val="accent2"/>
              </a:solidFill>
              <a:ln w="19050">
                <a:solidFill>
                  <a:schemeClr val="tx1">
                    <a:lumMod val="65000"/>
                    <a:lumOff val="35000"/>
                  </a:schemeClr>
                </a:solidFill>
              </a:ln>
              <a:effectLst/>
            </c:spPr>
          </c:dPt>
          <c:dLbls>
            <c:dLbl>
              <c:idx val="1"/>
              <c:layout>
                <c:manualLayout>
                  <c:x val="0.0382241128443356"/>
                  <c:y val="0.0933478565933644"/>
                </c:manualLayout>
              </c:layout>
              <c:tx>
                <c:rich>
                  <a:bodyPr rot="0" spcFirstLastPara="0" vertOverflow="ellipsis" vert="horz" wrap="square" lIns="38100" tIns="19050" rIns="38100" bIns="19050" anchor="ctr" anchorCtr="1"/>
                  <a:lstStyle/>
                  <a:p>
                    <a:pPr defTabSz="914400">
                      <a:defRPr lang="zh-CN" sz="900" b="0" i="0" u="none" strike="noStrike" kern="1200" baseline="0">
                        <a:ln w="12700" cmpd="sng">
                          <a:solidFill>
                            <a:schemeClr val="accent1">
                              <a:shade val="50000"/>
                            </a:schemeClr>
                          </a:solidFill>
                          <a:prstDash val="solid"/>
                        </a:ln>
                        <a:solidFill>
                          <a:schemeClr val="tx1">
                            <a:lumMod val="75000"/>
                            <a:lumOff val="25000"/>
                          </a:schemeClr>
                        </a:solidFill>
                        <a:latin typeface="+mn-lt"/>
                        <a:ea typeface="+mn-ea"/>
                        <a:cs typeface="+mn-cs"/>
                      </a:defRPr>
                    </a:pPr>
                    <a:r>
                      <a:t>利息收入,</a:t>
                    </a:r>
                    <a:r>
                      <a:rPr lang="en-US" altLang="zh-CN"/>
                      <a:t>0.43</a:t>
                    </a:r>
                    <a:r>
                      <a:t>, 0.14%</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solidFill>
                  <a:schemeClr val="accent1"/>
                </a:solidFill>
              </a:ln>
              <a:effectLst/>
            </c:spPr>
            <c:txPr>
              <a:bodyPr rot="0" spcFirstLastPara="0" vertOverflow="ellipsis" vert="horz" wrap="square" lIns="38100" tIns="19050" rIns="38100" bIns="19050" anchor="ctr" anchorCtr="1"/>
              <a:lstStyle/>
              <a:p>
                <a:pPr>
                  <a:defRPr lang="zh-CN" sz="900" b="0" i="0" u="none" strike="noStrike" kern="1200" baseline="0">
                    <a:ln w="12700" cmpd="sng">
                      <a:solidFill>
                        <a:schemeClr val="accent1">
                          <a:shade val="50000"/>
                        </a:schemeClr>
                      </a:solidFill>
                      <a:prstDash val="solid"/>
                    </a:ln>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[工作簿1]Sheet1!$C$6:$C$7</c:f>
              <c:strCache>
                <c:ptCount val="2"/>
                <c:pt idx="0">
                  <c:v>财政拨款收入</c:v>
                </c:pt>
                <c:pt idx="1">
                  <c:v>利息收入</c:v>
                </c:pt>
              </c:strCache>
            </c:strRef>
          </c:cat>
          <c:val>
            <c:numRef>
              <c:f>[工作簿1]Sheet1!$D$6:$D$7</c:f>
              <c:numCache>
                <c:formatCode>General</c:formatCode>
                <c:ptCount val="2"/>
                <c:pt idx="0">
                  <c:v>304.48</c:v>
                </c:pt>
                <c:pt idx="1">
                  <c:v>0.44</c:v>
                </c:pt>
              </c:numCache>
            </c:numRef>
          </c:val>
        </c:ser>
        <c:dLbls>
          <c:showLegendKey val="0"/>
          <c:showVal val="1"/>
          <c:showCatName val="0"/>
          <c:showSerName val="0"/>
          <c:showPercent val="0"/>
          <c:showBubbleSize val="0"/>
          <c:showLeaderLines val="1"/>
        </c:dLbls>
        <c:firstSliceAng val="54"/>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空港新城规划建设文物局
支出情况表</a:t>
            </a:r>
            <a:endParaRPr lang="en-US" altLang="zh-CN"/>
          </a:p>
          <a:p>
            <a:pPr>
              <a:defRPr lang="zh-CN" sz="1800" b="1" i="0" u="none" strike="noStrike" kern="1200" baseline="0">
                <a:solidFill>
                  <a:schemeClr val="tx1"/>
                </a:solidFill>
                <a:latin typeface="+mn-lt"/>
                <a:ea typeface="+mn-ea"/>
                <a:cs typeface="+mn-cs"/>
              </a:defRPr>
            </a:pPr>
            <a:r>
              <a:rPr lang="en-US" altLang="zh-CN"/>
              <a:t>                                                      </a:t>
            </a:r>
            <a:r>
              <a:rPr lang="zh-CN" altLang="en-US" sz="1200"/>
              <a:t>单位：万元</a:t>
            </a:r>
            <a:endParaRPr lang="zh-CN" altLang="en-US" sz="1200"/>
          </a:p>
        </c:rich>
      </c:tx>
      <c:layout/>
      <c:overlay val="0"/>
    </c:title>
    <c:autoTitleDeleted val="0"/>
    <c:plotArea>
      <c:layout>
        <c:manualLayout>
          <c:layoutTarget val="inner"/>
          <c:xMode val="edge"/>
          <c:yMode val="edge"/>
          <c:x val="0.0827777777777778"/>
          <c:y val="0.399768518518519"/>
          <c:w val="0.887916666666667"/>
          <c:h val="0.478935185185185"/>
        </c:manualLayout>
      </c:layout>
      <c:barChart>
        <c:barDir val="col"/>
        <c:grouping val="clustered"/>
        <c:varyColors val="0"/>
        <c:ser>
          <c:idx val="0"/>
          <c:order val="0"/>
          <c:tx>
            <c:strRef>
              <c:f>Sheet1!$B$1:$B$2</c:f>
              <c:strCache>
                <c:ptCount val="1"/>
                <c:pt idx="0">
                  <c:v>空港新城规划文物局
收入构成情况 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Sheet1!$A$3:$A$4</c:f>
              <c:strCache>
                <c:ptCount val="2"/>
                <c:pt idx="0">
                  <c:v>基本支出</c:v>
                </c:pt>
                <c:pt idx="1">
                  <c:v>项目支出</c:v>
                </c:pt>
              </c:strCache>
            </c:strRef>
          </c:cat>
          <c:val>
            <c:numRef>
              <c:f>Sheet1!$B$3:$B$4</c:f>
              <c:numCache>
                <c:formatCode>General</c:formatCode>
                <c:ptCount val="2"/>
                <c:pt idx="0">
                  <c:v>273.1</c:v>
                </c:pt>
                <c:pt idx="1">
                  <c:v>20.04</c:v>
                </c:pt>
              </c:numCache>
            </c:numRef>
          </c:val>
        </c:ser>
        <c:dLbls>
          <c:showLegendKey val="0"/>
          <c:showVal val="0"/>
          <c:showCatName val="0"/>
          <c:showSerName val="0"/>
          <c:showPercent val="0"/>
          <c:showBubbleSize val="0"/>
        </c:dLbls>
        <c:gapWidth val="150"/>
        <c:axId val="560537600"/>
        <c:axId val="468485632"/>
      </c:barChart>
      <c:catAx>
        <c:axId val="5605376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68485632"/>
        <c:crosses val="autoZero"/>
        <c:auto val="1"/>
        <c:lblAlgn val="ctr"/>
        <c:lblOffset val="100"/>
        <c:noMultiLvlLbl val="0"/>
      </c:catAx>
      <c:valAx>
        <c:axId val="4684856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0537600"/>
        <c:crosses val="autoZero"/>
        <c:crossBetween val="between"/>
      </c:valAx>
    </c:plotArea>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0"/>
          <c:dPt>
            <c:idx val="0"/>
            <c:bubble3D val="0"/>
          </c:dPt>
          <c:dPt>
            <c:idx val="1"/>
            <c:bubble3D val="0"/>
          </c:dPt>
          <c:dPt>
            <c:idx val="2"/>
            <c:bubble3D val="0"/>
          </c:dPt>
          <c:dPt>
            <c:idx val="3"/>
            <c:bubble3D val="0"/>
          </c:dPt>
          <c:dLbls>
            <c:dLbl>
              <c:idx val="2"/>
              <c:layout>
                <c:manualLayout>
                  <c:x val="-0.0730305392791794"/>
                  <c:y val="-0.218227424749164"/>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519259882253995"/>
                      <c:h val="0.154682274247492"/>
                    </c:manualLayout>
                  </c15:layout>
                </c:ext>
              </c:extLst>
            </c:dLbl>
            <c:dLbl>
              <c:idx val="3"/>
              <c:layout>
                <c:manualLayout>
                  <c:x val="0.0174325324227018"/>
                  <c:y val="0"/>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44726661059714"/>
                      <c:h val="0.153567447045708"/>
                    </c:manualLayout>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Sheet1!$A$1:$A$4</c:f>
              <c:strCache>
                <c:ptCount val="4"/>
                <c:pt idx="0">
                  <c:v>空港新城规划文物局
支出构成情况</c:v>
                </c:pt>
                <c:pt idx="1">
                  <c:v>单位：万元</c:v>
                </c:pt>
                <c:pt idx="2">
                  <c:v>基本支出</c:v>
                </c:pt>
                <c:pt idx="3">
                  <c:v>项目支出</c:v>
                </c:pt>
              </c:strCache>
            </c:strRef>
          </c:cat>
          <c:val>
            <c:numRef>
              <c:f>Sheet1!$B$1:$B$4</c:f>
              <c:numCache>
                <c:formatCode>General</c:formatCode>
                <c:ptCount val="4"/>
                <c:pt idx="2">
                  <c:v>273.1</c:v>
                </c:pt>
                <c:pt idx="3">
                  <c:v>20.04</c:v>
                </c:pt>
              </c:numCache>
            </c:numRef>
          </c:val>
        </c:ser>
        <c:ser>
          <c:idx val="1"/>
          <c:order val="1"/>
          <c:explosion val="0"/>
          <c:dPt>
            <c:idx val="0"/>
            <c:bubble3D val="0"/>
          </c:dPt>
          <c:dPt>
            <c:idx val="1"/>
            <c:bubble3D val="0"/>
          </c:dPt>
          <c:dPt>
            <c:idx val="2"/>
            <c:bubble3D val="0"/>
          </c:dPt>
          <c:dPt>
            <c:idx val="3"/>
            <c:bubble3D val="0"/>
          </c:dPt>
          <c:dLbls>
            <c:delete val="1"/>
          </c:dLbls>
          <c:cat>
            <c:strRef>
              <c:f>Sheet1!$A$1:$A$4</c:f>
              <c:strCache>
                <c:ptCount val="4"/>
                <c:pt idx="0">
                  <c:v>空港新城规划文物局
支出构成情况</c:v>
                </c:pt>
                <c:pt idx="1">
                  <c:v>单位：万元</c:v>
                </c:pt>
                <c:pt idx="2">
                  <c:v>基本支出</c:v>
                </c:pt>
                <c:pt idx="3">
                  <c:v>项目支出</c:v>
                </c:pt>
              </c:strCache>
            </c:strRef>
          </c:cat>
          <c:val>
            <c:numRef>
              <c:f>Sheet1!$C$1:$C$4</c:f>
              <c:numCache>
                <c:formatCode>General</c:formatCode>
                <c:ptCount val="4"/>
              </c:numCache>
            </c:numRef>
          </c:val>
        </c:ser>
        <c:dLbls>
          <c:showLegendKey val="0"/>
          <c:showVal val="0"/>
          <c:showCatName val="0"/>
          <c:showSerName val="0"/>
          <c:showPercent val="0"/>
          <c:showBubbleSize val="0"/>
          <c:showLeaderLines val="1"/>
        </c:dLbls>
        <c:firstSliceAng val="0"/>
      </c:pieChart>
    </c:plotArea>
    <c:legend>
      <c:legendPos val="r"/>
      <c:legendEntry>
        <c:idx val="0"/>
        <c:delete val="1"/>
      </c:legendEntry>
      <c:legendEntry>
        <c:idx val="1"/>
        <c:delete val="1"/>
      </c:legendEntry>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1019</Words>
  <Characters>5809</Characters>
  <Lines>48</Lines>
  <Paragraphs>13</Paragraphs>
  <TotalTime>23</TotalTime>
  <ScaleCrop>false</ScaleCrop>
  <LinksUpToDate>false</LinksUpToDate>
  <CharactersWithSpaces>6815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2020-10-13T03:24:00Z</dcterms:created>
  <dc:creator>lenovo</dc:creator>
  <cp:lastModifiedBy>樱桃小玉</cp:lastModifiedBy>
  <cp:lastPrinted>2020-09-16T08:36:00Z</cp:lastPrinted>
  <dcterms:modified xsi:type="dcterms:W3CDTF">2020-10-21T08:57:23Z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